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4DB053" w14:textId="77777777" w:rsidR="001B62F2" w:rsidRPr="001B62F2" w:rsidRDefault="001B62F2" w:rsidP="001B62F2">
      <w:pPr>
        <w:spacing w:line="480" w:lineRule="auto"/>
        <w:jc w:val="center"/>
        <w:rPr>
          <w:rFonts w:ascii="Arial" w:hAnsi="Arial" w:cs="Arial"/>
        </w:rPr>
      </w:pPr>
    </w:p>
    <w:p w14:paraId="01722E28" w14:textId="77777777" w:rsidR="001B62F2" w:rsidRPr="001B62F2" w:rsidRDefault="001B62F2" w:rsidP="001B62F2">
      <w:pPr>
        <w:spacing w:line="480" w:lineRule="auto"/>
        <w:jc w:val="center"/>
        <w:rPr>
          <w:rFonts w:ascii="Arial" w:hAnsi="Arial" w:cs="Arial"/>
        </w:rPr>
      </w:pPr>
    </w:p>
    <w:p w14:paraId="14616B62" w14:textId="77777777" w:rsidR="001B62F2" w:rsidRPr="001B62F2" w:rsidRDefault="001B62F2" w:rsidP="001B62F2">
      <w:pPr>
        <w:spacing w:line="480" w:lineRule="auto"/>
        <w:jc w:val="center"/>
        <w:rPr>
          <w:rFonts w:ascii="Arial" w:hAnsi="Arial" w:cs="Arial"/>
        </w:rPr>
      </w:pPr>
    </w:p>
    <w:p w14:paraId="78614094" w14:textId="77777777" w:rsidR="001B62F2" w:rsidRPr="001B62F2" w:rsidRDefault="001B62F2" w:rsidP="001B62F2">
      <w:pPr>
        <w:spacing w:line="480" w:lineRule="auto"/>
        <w:jc w:val="center"/>
        <w:rPr>
          <w:rFonts w:ascii="Arial" w:hAnsi="Arial" w:cs="Arial"/>
        </w:rPr>
      </w:pPr>
    </w:p>
    <w:p w14:paraId="45F75907" w14:textId="77777777" w:rsidR="001B62F2" w:rsidRPr="001B62F2" w:rsidRDefault="001B62F2" w:rsidP="001B62F2">
      <w:pPr>
        <w:spacing w:line="480" w:lineRule="auto"/>
        <w:jc w:val="center"/>
        <w:rPr>
          <w:rFonts w:ascii="Arial" w:hAnsi="Arial" w:cs="Arial"/>
        </w:rPr>
      </w:pPr>
    </w:p>
    <w:p w14:paraId="3D1F28F3" w14:textId="77777777" w:rsidR="001B62F2" w:rsidRPr="001B62F2" w:rsidRDefault="001B62F2" w:rsidP="001B62F2">
      <w:pPr>
        <w:spacing w:line="480" w:lineRule="auto"/>
        <w:jc w:val="center"/>
        <w:rPr>
          <w:rFonts w:ascii="Arial" w:hAnsi="Arial" w:cs="Arial"/>
        </w:rPr>
      </w:pPr>
    </w:p>
    <w:p w14:paraId="6F72D016" w14:textId="77777777" w:rsidR="001B62F2" w:rsidRPr="001B62F2" w:rsidRDefault="001B62F2" w:rsidP="001B62F2">
      <w:pPr>
        <w:spacing w:line="480" w:lineRule="auto"/>
        <w:jc w:val="center"/>
        <w:rPr>
          <w:rFonts w:ascii="Arial" w:hAnsi="Arial" w:cs="Arial"/>
        </w:rPr>
      </w:pPr>
    </w:p>
    <w:p w14:paraId="22A5C5B8" w14:textId="77777777" w:rsidR="001B62F2" w:rsidRPr="001B62F2" w:rsidRDefault="001B62F2" w:rsidP="001B62F2">
      <w:pPr>
        <w:spacing w:line="480" w:lineRule="auto"/>
        <w:jc w:val="center"/>
        <w:rPr>
          <w:rFonts w:ascii="Arial" w:hAnsi="Arial" w:cs="Arial"/>
        </w:rPr>
      </w:pPr>
    </w:p>
    <w:p w14:paraId="0034C6BC" w14:textId="77777777" w:rsidR="001B62F2" w:rsidRPr="001B62F2" w:rsidRDefault="001B62F2" w:rsidP="001B62F2">
      <w:pPr>
        <w:spacing w:line="480" w:lineRule="auto"/>
        <w:rPr>
          <w:rFonts w:ascii="Arial" w:hAnsi="Arial" w:cs="Arial"/>
        </w:rPr>
      </w:pPr>
    </w:p>
    <w:p w14:paraId="48869907" w14:textId="13F16985" w:rsidR="001B62F2" w:rsidRPr="001B62F2" w:rsidRDefault="001B62F2" w:rsidP="001B62F2">
      <w:pPr>
        <w:spacing w:line="480" w:lineRule="auto"/>
        <w:jc w:val="center"/>
        <w:rPr>
          <w:rFonts w:ascii="Arial" w:hAnsi="Arial" w:cs="Arial"/>
        </w:rPr>
      </w:pPr>
      <w:r w:rsidRPr="001B62F2">
        <w:rPr>
          <w:rFonts w:ascii="Arial" w:hAnsi="Arial" w:cs="Arial"/>
        </w:rPr>
        <w:t>Financial Auditing</w:t>
      </w:r>
      <w:r w:rsidR="006A470D">
        <w:rPr>
          <w:rFonts w:ascii="Arial" w:hAnsi="Arial" w:cs="Arial"/>
        </w:rPr>
        <w:t xml:space="preserve"> Memo</w:t>
      </w:r>
    </w:p>
    <w:p w14:paraId="751205BD" w14:textId="77777777" w:rsidR="001B62F2" w:rsidRPr="001B62F2" w:rsidRDefault="001B62F2" w:rsidP="001B62F2">
      <w:pPr>
        <w:spacing w:line="480" w:lineRule="auto"/>
        <w:jc w:val="center"/>
        <w:rPr>
          <w:rFonts w:ascii="Arial" w:hAnsi="Arial" w:cs="Arial"/>
        </w:rPr>
      </w:pPr>
      <w:r w:rsidRPr="001B62F2">
        <w:rPr>
          <w:rFonts w:ascii="Arial" w:hAnsi="Arial" w:cs="Arial"/>
        </w:rPr>
        <w:t>Student Name</w:t>
      </w:r>
    </w:p>
    <w:p w14:paraId="6469C3BA" w14:textId="0E2B32EF" w:rsidR="001B62F2" w:rsidRPr="001B62F2" w:rsidRDefault="001B62F2" w:rsidP="001B62F2">
      <w:pPr>
        <w:spacing w:line="480" w:lineRule="auto"/>
        <w:jc w:val="center"/>
        <w:rPr>
          <w:rFonts w:ascii="Arial" w:hAnsi="Arial" w:cs="Arial"/>
          <w:b/>
        </w:rPr>
      </w:pPr>
      <w:r w:rsidRPr="001B62F2">
        <w:rPr>
          <w:rFonts w:ascii="Arial" w:hAnsi="Arial" w:cs="Arial"/>
        </w:rPr>
        <w:t>Name of Institution</w:t>
      </w:r>
      <w:r w:rsidRPr="001B62F2">
        <w:rPr>
          <w:rFonts w:ascii="Arial" w:hAnsi="Arial" w:cs="Arial"/>
          <w:b/>
        </w:rPr>
        <w:br w:type="page"/>
      </w:r>
    </w:p>
    <w:p w14:paraId="65287111" w14:textId="50F9E67C" w:rsidR="006A470D" w:rsidRDefault="006A470D" w:rsidP="006A470D">
      <w:pPr>
        <w:spacing w:line="480" w:lineRule="auto"/>
        <w:jc w:val="center"/>
        <w:rPr>
          <w:rFonts w:ascii="Arial" w:hAnsi="Arial" w:cs="Arial"/>
          <w:b/>
        </w:rPr>
      </w:pPr>
      <w:r>
        <w:rPr>
          <w:rFonts w:ascii="Arial" w:hAnsi="Arial" w:cs="Arial"/>
          <w:b/>
        </w:rPr>
        <w:lastRenderedPageBreak/>
        <w:t>Memo</w:t>
      </w:r>
    </w:p>
    <w:p w14:paraId="06E03BA3" w14:textId="2E8FC656" w:rsidR="006A470D" w:rsidRPr="006A470D" w:rsidRDefault="00442435" w:rsidP="006A470D">
      <w:pPr>
        <w:spacing w:line="480" w:lineRule="auto"/>
        <w:rPr>
          <w:rFonts w:ascii="Arial" w:hAnsi="Arial" w:cs="Arial"/>
        </w:rPr>
      </w:pPr>
      <w:r>
        <w:rPr>
          <w:rFonts w:ascii="Arial" w:hAnsi="Arial" w:cs="Arial"/>
        </w:rPr>
        <w:t>To: Jane Smith, Audit Team Leader</w:t>
      </w:r>
    </w:p>
    <w:p w14:paraId="635C96BB" w14:textId="6D10095E" w:rsidR="006A470D" w:rsidRPr="006A470D" w:rsidRDefault="006A470D" w:rsidP="006A470D">
      <w:pPr>
        <w:spacing w:line="480" w:lineRule="auto"/>
        <w:rPr>
          <w:rFonts w:ascii="Arial" w:hAnsi="Arial" w:cs="Arial"/>
        </w:rPr>
      </w:pPr>
      <w:r>
        <w:rPr>
          <w:rFonts w:ascii="Arial" w:hAnsi="Arial" w:cs="Arial"/>
        </w:rPr>
        <w:t>From: Name, Auditor</w:t>
      </w:r>
    </w:p>
    <w:p w14:paraId="720F7ED0" w14:textId="09743F7F" w:rsidR="006A470D" w:rsidRPr="006A470D" w:rsidRDefault="006A470D" w:rsidP="006A470D">
      <w:pPr>
        <w:spacing w:line="480" w:lineRule="auto"/>
        <w:rPr>
          <w:rFonts w:ascii="Arial" w:hAnsi="Arial" w:cs="Arial"/>
        </w:rPr>
      </w:pPr>
      <w:r>
        <w:rPr>
          <w:rFonts w:ascii="Arial" w:hAnsi="Arial" w:cs="Arial"/>
        </w:rPr>
        <w:t>Date: January 21, 2019</w:t>
      </w:r>
    </w:p>
    <w:p w14:paraId="5B8679C2" w14:textId="0EECB664" w:rsidR="006A470D" w:rsidRPr="00B67123" w:rsidRDefault="006A470D" w:rsidP="006A470D">
      <w:pPr>
        <w:spacing w:line="480" w:lineRule="auto"/>
        <w:rPr>
          <w:rFonts w:ascii="Arial" w:hAnsi="Arial" w:cs="Arial"/>
        </w:rPr>
      </w:pPr>
      <w:r>
        <w:rPr>
          <w:rFonts w:ascii="Arial" w:hAnsi="Arial" w:cs="Arial"/>
        </w:rPr>
        <w:t>Subject: Robbins Network Solutions (RNS) Financial Audit</w:t>
      </w:r>
    </w:p>
    <w:p w14:paraId="3CD946BF" w14:textId="5A0A9E5A" w:rsidR="00B51DA6" w:rsidRPr="001B62F2" w:rsidRDefault="00B51DA6" w:rsidP="001B62F2">
      <w:pPr>
        <w:spacing w:line="480" w:lineRule="auto"/>
        <w:rPr>
          <w:rFonts w:ascii="Arial" w:hAnsi="Arial" w:cs="Arial"/>
          <w:b/>
        </w:rPr>
      </w:pPr>
      <w:r w:rsidRPr="001B62F2">
        <w:rPr>
          <w:rFonts w:ascii="Arial" w:hAnsi="Arial" w:cs="Arial"/>
          <w:b/>
        </w:rPr>
        <w:t>Major financial transactions</w:t>
      </w:r>
    </w:p>
    <w:p w14:paraId="4849808E" w14:textId="0601C426" w:rsidR="00B51DA6" w:rsidRPr="001B62F2" w:rsidRDefault="00B51DA6" w:rsidP="001B62F2">
      <w:pPr>
        <w:spacing w:line="480" w:lineRule="auto"/>
        <w:ind w:firstLine="720"/>
        <w:rPr>
          <w:rFonts w:ascii="Arial" w:hAnsi="Arial" w:cs="Arial"/>
        </w:rPr>
      </w:pPr>
      <w:r w:rsidRPr="001B62F2">
        <w:rPr>
          <w:rFonts w:ascii="Arial" w:hAnsi="Arial" w:cs="Arial"/>
        </w:rPr>
        <w:t>RNS’s financial operations are straightforward and are limited to everyday business transactions. RNS’s significant financial transactions can be divided along the lines of revenue reception and disbursement of cash for business expenses. The company receives revenue for the sale of computer hardware and software as well as receipts for the provision of its core services: installation of computer hardware and technology consulting. The company’s major cash disbursements include salaries payments, supplier payments, and payments to other parties such as insurance and utility companies. RNS’s investment in R&amp;D forms a distinctive financial transaction that should be carefully audited due to the risks discussed below.</w:t>
      </w:r>
    </w:p>
    <w:p w14:paraId="0DAFB7FD" w14:textId="45C882FC" w:rsidR="00B51DA6" w:rsidRPr="001B62F2" w:rsidRDefault="00B51DA6" w:rsidP="001B62F2">
      <w:pPr>
        <w:spacing w:line="480" w:lineRule="auto"/>
        <w:rPr>
          <w:rFonts w:ascii="Arial" w:hAnsi="Arial" w:cs="Arial"/>
          <w:b/>
        </w:rPr>
      </w:pPr>
      <w:r w:rsidRPr="001B62F2">
        <w:rPr>
          <w:rFonts w:ascii="Arial" w:hAnsi="Arial" w:cs="Arial"/>
          <w:b/>
        </w:rPr>
        <w:t>Business Risk</w:t>
      </w:r>
    </w:p>
    <w:p w14:paraId="009F4DFF" w14:textId="521BD487" w:rsidR="00B51DA6" w:rsidRPr="001B62F2" w:rsidRDefault="00B51DA6" w:rsidP="001B62F2">
      <w:pPr>
        <w:spacing w:line="480" w:lineRule="auto"/>
        <w:ind w:firstLine="720"/>
        <w:rPr>
          <w:rFonts w:ascii="Arial" w:hAnsi="Arial" w:cs="Arial"/>
        </w:rPr>
      </w:pPr>
      <w:r w:rsidRPr="001B62F2">
        <w:rPr>
          <w:rFonts w:ascii="Arial" w:hAnsi="Arial" w:cs="Arial"/>
        </w:rPr>
        <w:t xml:space="preserve">RNS faces significant risk of inability to collect a large portion of its accounts receivable. The company manufactures products at an increased cost and prices the products higher than its competitors do. Relaxing its credit rules will allow buyers with a high credit risk profile to access the company’s merchandise. Buyers unable to purchase equipment due to shortages in cash are unlikely </w:t>
      </w:r>
      <w:bookmarkStart w:id="0" w:name="_GoBack"/>
      <w:bookmarkEnd w:id="0"/>
      <w:r w:rsidRPr="001B62F2">
        <w:rPr>
          <w:rFonts w:ascii="Arial" w:hAnsi="Arial" w:cs="Arial"/>
        </w:rPr>
        <w:t>to be able to buy high-cost equipment even</w:t>
      </w:r>
      <w:r w:rsidR="003518C9" w:rsidRPr="001B62F2">
        <w:rPr>
          <w:rFonts w:ascii="Arial" w:hAnsi="Arial" w:cs="Arial"/>
        </w:rPr>
        <w:t xml:space="preserve"> with extended pay periods (Ross et al., 2016</w:t>
      </w:r>
      <w:r w:rsidRPr="001B62F2">
        <w:rPr>
          <w:rFonts w:ascii="Arial" w:hAnsi="Arial" w:cs="Arial"/>
        </w:rPr>
        <w:t xml:space="preserve">). The company also faces the risk of excessive R&amp;D expenditure, which is typical for companies </w:t>
      </w:r>
      <w:r w:rsidR="003518C9" w:rsidRPr="001B62F2">
        <w:rPr>
          <w:rFonts w:ascii="Arial" w:hAnsi="Arial" w:cs="Arial"/>
        </w:rPr>
        <w:t>in the technology industry (Senft et al., 2016</w:t>
      </w:r>
      <w:r w:rsidRPr="001B62F2">
        <w:rPr>
          <w:rFonts w:ascii="Arial" w:hAnsi="Arial" w:cs="Arial"/>
        </w:rPr>
        <w:t xml:space="preserve">). </w:t>
      </w:r>
    </w:p>
    <w:p w14:paraId="16B74708" w14:textId="1B9702CB" w:rsidR="00B51DA6" w:rsidRPr="001B62F2" w:rsidRDefault="00B51DA6" w:rsidP="001B62F2">
      <w:pPr>
        <w:spacing w:line="480" w:lineRule="auto"/>
        <w:ind w:firstLine="720"/>
        <w:rPr>
          <w:rFonts w:ascii="Arial" w:hAnsi="Arial" w:cs="Arial"/>
        </w:rPr>
      </w:pPr>
      <w:r w:rsidRPr="001B62F2">
        <w:rPr>
          <w:rFonts w:ascii="Arial" w:hAnsi="Arial" w:cs="Arial"/>
        </w:rPr>
        <w:t xml:space="preserve">There has also been a trend in the outsourcing of labor-intensive jobs in the manufacturing of computer hardware that has resulted in the </w:t>
      </w:r>
      <w:r w:rsidR="006F7C0A" w:rsidRPr="001B62F2">
        <w:rPr>
          <w:rFonts w:ascii="Arial" w:hAnsi="Arial" w:cs="Arial"/>
        </w:rPr>
        <w:t>low cost of finished goods (Griffin, 2015</w:t>
      </w:r>
      <w:r w:rsidRPr="001B62F2">
        <w:rPr>
          <w:rFonts w:ascii="Arial" w:hAnsi="Arial" w:cs="Arial"/>
        </w:rPr>
        <w:t xml:space="preserve">) allowing RNS’s competitors to undercut its prices. RNS depends on highly specialized labor preventing it from engaging in price wars with its competitors. Furthermore, environmentalists are calling for stricter regulations in the disposal of e-waste, would increase </w:t>
      </w:r>
      <w:r w:rsidR="00E10031" w:rsidRPr="001B62F2">
        <w:rPr>
          <w:rFonts w:ascii="Arial" w:hAnsi="Arial" w:cs="Arial"/>
        </w:rPr>
        <w:t>the cost of doing business (Cascade assets</w:t>
      </w:r>
      <w:r w:rsidR="00195917" w:rsidRPr="001B62F2">
        <w:rPr>
          <w:rFonts w:ascii="Arial" w:hAnsi="Arial" w:cs="Arial"/>
        </w:rPr>
        <w:t>,</w:t>
      </w:r>
      <w:r w:rsidR="00E10031" w:rsidRPr="001B62F2">
        <w:rPr>
          <w:rFonts w:ascii="Arial" w:hAnsi="Arial" w:cs="Arial"/>
        </w:rPr>
        <w:t xml:space="preserve"> n.d.</w:t>
      </w:r>
      <w:r w:rsidRPr="001B62F2">
        <w:rPr>
          <w:rFonts w:ascii="Arial" w:hAnsi="Arial" w:cs="Arial"/>
        </w:rPr>
        <w:t xml:space="preserve">). </w:t>
      </w:r>
    </w:p>
    <w:p w14:paraId="1E55C600" w14:textId="4AD7BC78" w:rsidR="00B51DA6" w:rsidRPr="001B62F2" w:rsidRDefault="00B51DA6" w:rsidP="001B62F2">
      <w:pPr>
        <w:spacing w:line="480" w:lineRule="auto"/>
        <w:ind w:firstLine="720"/>
        <w:rPr>
          <w:rFonts w:ascii="Arial" w:hAnsi="Arial" w:cs="Arial"/>
        </w:rPr>
      </w:pPr>
      <w:r w:rsidRPr="001B62F2">
        <w:rPr>
          <w:rFonts w:ascii="Arial" w:hAnsi="Arial" w:cs="Arial"/>
        </w:rPr>
        <w:t>Should any one of these highly likely risks materialize, the company will face a decl</w:t>
      </w:r>
      <w:r w:rsidR="006F7C0A" w:rsidRPr="001B62F2">
        <w:rPr>
          <w:rFonts w:ascii="Arial" w:hAnsi="Arial" w:cs="Arial"/>
        </w:rPr>
        <w:t>ine in its revenue growth</w:t>
      </w:r>
      <w:r w:rsidRPr="001B62F2">
        <w:rPr>
          <w:rFonts w:ascii="Arial" w:hAnsi="Arial" w:cs="Arial"/>
        </w:rPr>
        <w:t>. The overall implication of these is that RNS might be unable to meet the target sales revenue growth and net income growth. Depending on the nature of the control environment, the risk of declining revenue and net income could be red flags for improper financial reporting. If management is under pressure to meet the target growth from the stockholders in the board of directors, the risk of material misstatement of the financial statements will be high. The use of aging of AR and gross margins as performance measures is an indicator of a pressurized control environment increasing the potential for aggressive reporting and material misstatements.</w:t>
      </w:r>
    </w:p>
    <w:p w14:paraId="307B4F7E" w14:textId="72A77515" w:rsidR="00B51DA6" w:rsidRPr="001B62F2" w:rsidRDefault="00B51DA6" w:rsidP="001B62F2">
      <w:pPr>
        <w:spacing w:line="480" w:lineRule="auto"/>
        <w:rPr>
          <w:rFonts w:ascii="Arial" w:hAnsi="Arial" w:cs="Arial"/>
          <w:b/>
        </w:rPr>
      </w:pPr>
      <w:r w:rsidRPr="001B62F2">
        <w:rPr>
          <w:rFonts w:ascii="Arial" w:hAnsi="Arial" w:cs="Arial"/>
          <w:b/>
        </w:rPr>
        <w:t>Appropriate internal controls</w:t>
      </w:r>
    </w:p>
    <w:p w14:paraId="352CDEBF" w14:textId="109B1F88" w:rsidR="00B51DA6" w:rsidRPr="001B62F2" w:rsidRDefault="00B51DA6" w:rsidP="001B62F2">
      <w:pPr>
        <w:spacing w:line="480" w:lineRule="auto"/>
        <w:ind w:firstLine="720"/>
        <w:rPr>
          <w:rFonts w:ascii="Arial" w:hAnsi="Arial" w:cs="Arial"/>
        </w:rPr>
      </w:pPr>
      <w:r w:rsidRPr="001B62F2">
        <w:rPr>
          <w:rFonts w:ascii="Arial" w:hAnsi="Arial" w:cs="Arial"/>
        </w:rPr>
        <w:t>Internal controls are developed with the intention of safeguarding business assets, facilitating efficient conduct of business, ensure correct financial reporting and prevent fraud. The internal controls for the computer hardware and software industry should prevent employees from using their technological know-how to misuse business assets and conceal fraud. The appropriate controls for this include physical controls, segregation of duties and information processing controls.</w:t>
      </w:r>
    </w:p>
    <w:p w14:paraId="1F433387" w14:textId="69D62157" w:rsidR="00B51DA6" w:rsidRPr="001B62F2" w:rsidRDefault="00B51DA6" w:rsidP="001B62F2">
      <w:pPr>
        <w:spacing w:line="480" w:lineRule="auto"/>
        <w:ind w:firstLine="720"/>
        <w:rPr>
          <w:rFonts w:ascii="Arial" w:hAnsi="Arial" w:cs="Arial"/>
        </w:rPr>
      </w:pPr>
      <w:r w:rsidRPr="001B62F2">
        <w:rPr>
          <w:rFonts w:ascii="Arial" w:hAnsi="Arial" w:cs="Arial"/>
        </w:rPr>
        <w:t xml:space="preserve">Physicals controls prevent unauthorized personnel from accessing the business’ assets. In the computer industry, business assets consist of both hardware and intangible assets such as data and software. Specific physical control procedures consist of employee authentication via biometric data, key card access to offices and floors where confidential data is stored, locking computer hardware storage rooms, and password controls on information systems. Segregation of duties prevents persons who can access specific assets from controlling the same assets. In the computer industry, segregation of duties in software development and information system management is essential to prevent personnel in charge of developing the organization’s information system from tampering with it to conceal fraudulent activities. </w:t>
      </w:r>
    </w:p>
    <w:p w14:paraId="0EEC3FF5" w14:textId="6F003820" w:rsidR="00B51DA6" w:rsidRPr="001B62F2" w:rsidRDefault="00B51DA6" w:rsidP="001B62F2">
      <w:pPr>
        <w:spacing w:line="480" w:lineRule="auto"/>
        <w:ind w:firstLine="720"/>
        <w:rPr>
          <w:rFonts w:ascii="Arial" w:hAnsi="Arial" w:cs="Arial"/>
        </w:rPr>
      </w:pPr>
      <w:r w:rsidRPr="001B62F2">
        <w:rPr>
          <w:rFonts w:ascii="Arial" w:hAnsi="Arial" w:cs="Arial"/>
        </w:rPr>
        <w:t>Information processing controls appropriate for the industry consist of general controls that ensure that all the applications in the information system are correctly running. Specific information processing control procedures include access security controls, controls over the authorization applications and network operations controls. Information processing controls bolster the segregation of duties and physical controls in that internal auditors can detect infringement of physical controls using general information processing controls.</w:t>
      </w:r>
    </w:p>
    <w:p w14:paraId="7592B08F" w14:textId="56C9EBC2" w:rsidR="00B51DA6" w:rsidRPr="001B62F2" w:rsidRDefault="00B13773" w:rsidP="001B62F2">
      <w:pPr>
        <w:spacing w:line="480" w:lineRule="auto"/>
        <w:rPr>
          <w:rFonts w:ascii="Arial" w:hAnsi="Arial" w:cs="Arial"/>
          <w:b/>
        </w:rPr>
      </w:pPr>
      <w:r w:rsidRPr="001B62F2">
        <w:rPr>
          <w:rFonts w:ascii="Arial" w:hAnsi="Arial" w:cs="Arial"/>
          <w:b/>
        </w:rPr>
        <w:t>Ethical issues</w:t>
      </w:r>
    </w:p>
    <w:p w14:paraId="7D3324DD" w14:textId="03491556" w:rsidR="00B51DA6" w:rsidRPr="001B62F2" w:rsidRDefault="00B51DA6" w:rsidP="001B62F2">
      <w:pPr>
        <w:spacing w:line="480" w:lineRule="auto"/>
        <w:ind w:firstLine="720"/>
        <w:rPr>
          <w:rFonts w:ascii="Arial" w:hAnsi="Arial" w:cs="Arial"/>
        </w:rPr>
      </w:pPr>
      <w:r w:rsidRPr="001B62F2">
        <w:rPr>
          <w:rFonts w:ascii="Arial" w:hAnsi="Arial" w:cs="Arial"/>
        </w:rPr>
        <w:t>Ethics committees place the mandate of ensuring the protection of customer data during the design process and after the purchase of software on software development companies. Financial auditors are restricted in the extent that they can use original data to test the working of the information system and its internal controls due to ethical concerns surrounding the confidentiality of consumer data. These restrictions interfere with the auditor’s ability to evaluate the integrity of the information system and whether it has been tampered with to conceal asset mismanagement.</w:t>
      </w:r>
    </w:p>
    <w:p w14:paraId="672B4237" w14:textId="25C4286F" w:rsidR="00B51DA6" w:rsidRPr="001B62F2" w:rsidRDefault="00E1385D" w:rsidP="001B62F2">
      <w:pPr>
        <w:spacing w:line="480" w:lineRule="auto"/>
        <w:rPr>
          <w:rFonts w:ascii="Arial" w:hAnsi="Arial" w:cs="Arial"/>
          <w:b/>
        </w:rPr>
      </w:pPr>
      <w:r w:rsidRPr="001B62F2">
        <w:rPr>
          <w:rFonts w:ascii="Arial" w:hAnsi="Arial" w:cs="Arial"/>
          <w:b/>
        </w:rPr>
        <w:t>Impact of current events on company’s</w:t>
      </w:r>
      <w:r w:rsidR="00B51DA6" w:rsidRPr="001B62F2">
        <w:rPr>
          <w:rFonts w:ascii="Arial" w:hAnsi="Arial" w:cs="Arial"/>
          <w:b/>
        </w:rPr>
        <w:t xml:space="preserve"> risk and internal control</w:t>
      </w:r>
    </w:p>
    <w:p w14:paraId="44C1F680" w14:textId="77E9E552" w:rsidR="00B51DA6" w:rsidRPr="001B62F2" w:rsidRDefault="00B51DA6" w:rsidP="001B62F2">
      <w:pPr>
        <w:spacing w:line="480" w:lineRule="auto"/>
        <w:ind w:firstLine="720"/>
        <w:rPr>
          <w:rFonts w:ascii="Arial" w:hAnsi="Arial" w:cs="Arial"/>
        </w:rPr>
      </w:pPr>
      <w:r w:rsidRPr="001B62F2">
        <w:rPr>
          <w:rFonts w:ascii="Arial" w:hAnsi="Arial" w:cs="Arial"/>
        </w:rPr>
        <w:t>The evolution of the threat landscape has caused technology companies to pay closer attention to the issues of cyber security. The list of potential attacks on a company’s information system is ever growing with cyber criminals ta</w:t>
      </w:r>
      <w:r w:rsidR="00C157AC" w:rsidRPr="001B62F2">
        <w:rPr>
          <w:rFonts w:ascii="Arial" w:hAnsi="Arial" w:cs="Arial"/>
        </w:rPr>
        <w:t>rgeting virtual currencies (KPMG, 2017</w:t>
      </w:r>
      <w:r w:rsidRPr="001B62F2">
        <w:rPr>
          <w:rFonts w:ascii="Arial" w:hAnsi="Arial" w:cs="Arial"/>
        </w:rPr>
        <w:t xml:space="preserve">). The methods of illegal entry into an information system with the intention of illicit data </w:t>
      </w:r>
      <w:r w:rsidR="00C157AC" w:rsidRPr="001B62F2">
        <w:rPr>
          <w:rFonts w:ascii="Arial" w:hAnsi="Arial" w:cs="Arial"/>
        </w:rPr>
        <w:t>mining have also increased (E&amp;Y, 2013</w:t>
      </w:r>
      <w:r w:rsidRPr="001B62F2">
        <w:rPr>
          <w:rFonts w:ascii="Arial" w:hAnsi="Arial" w:cs="Arial"/>
        </w:rPr>
        <w:t>). Technology companies are therefore required to conduct regular assessments of risk and update their data protection mechanisms as well as internal controls to detect access and alteration of financial data.</w:t>
      </w:r>
    </w:p>
    <w:p w14:paraId="6FFA530F" w14:textId="3A332010" w:rsidR="00B51DA6" w:rsidRPr="001B62F2" w:rsidRDefault="00E1385D" w:rsidP="001B62F2">
      <w:pPr>
        <w:spacing w:line="480" w:lineRule="auto"/>
        <w:rPr>
          <w:rFonts w:ascii="Arial" w:hAnsi="Arial" w:cs="Arial"/>
          <w:b/>
        </w:rPr>
      </w:pPr>
      <w:r w:rsidRPr="001B62F2">
        <w:rPr>
          <w:rFonts w:ascii="Arial" w:hAnsi="Arial" w:cs="Arial"/>
          <w:b/>
        </w:rPr>
        <w:t>Audit evidence</w:t>
      </w:r>
    </w:p>
    <w:p w14:paraId="574F8F48" w14:textId="4071C5B8" w:rsidR="00B51DA6" w:rsidRPr="001B62F2" w:rsidRDefault="00B51DA6" w:rsidP="001B62F2">
      <w:pPr>
        <w:spacing w:line="480" w:lineRule="auto"/>
        <w:ind w:firstLine="720"/>
        <w:rPr>
          <w:rFonts w:ascii="Arial" w:hAnsi="Arial" w:cs="Arial"/>
        </w:rPr>
      </w:pPr>
      <w:r w:rsidRPr="001B62F2">
        <w:rPr>
          <w:rFonts w:ascii="Arial" w:hAnsi="Arial" w:cs="Arial"/>
        </w:rPr>
        <w:t>The quantity of audit data or evidence to be collected correlates to the audit risk and the extent to which the auditors would like to test management’s assertions. According to the AICPA AU-500, the amount of audit data needed is dependent on the level of the risk of material misstatement reported during the assessment phase and on the quality of the ev</w:t>
      </w:r>
      <w:r w:rsidR="00543843" w:rsidRPr="001B62F2">
        <w:rPr>
          <w:rFonts w:ascii="Arial" w:hAnsi="Arial" w:cs="Arial"/>
        </w:rPr>
        <w:t>idence (Johnstone et al., 2013</w:t>
      </w:r>
      <w:r w:rsidRPr="001B62F2">
        <w:rPr>
          <w:rFonts w:ascii="Arial" w:hAnsi="Arial" w:cs="Arial"/>
        </w:rPr>
        <w:t>). The AICPA recommends that auditors focus on collecting audit evidence for accounts or assertions with a higher probabilit</w:t>
      </w:r>
      <w:r w:rsidR="007F70FB" w:rsidRPr="001B62F2">
        <w:rPr>
          <w:rFonts w:ascii="Arial" w:hAnsi="Arial" w:cs="Arial"/>
        </w:rPr>
        <w:t>y of material misstatement (Johnstone et al., 2013</w:t>
      </w:r>
      <w:r w:rsidRPr="001B62F2">
        <w:rPr>
          <w:rFonts w:ascii="Arial" w:hAnsi="Arial" w:cs="Arial"/>
        </w:rPr>
        <w:t>).</w:t>
      </w:r>
    </w:p>
    <w:p w14:paraId="70B1FE8C" w14:textId="1570B404" w:rsidR="00B51DA6" w:rsidRPr="001B62F2" w:rsidRDefault="00B51DA6" w:rsidP="001B62F2">
      <w:pPr>
        <w:spacing w:line="480" w:lineRule="auto"/>
        <w:ind w:firstLine="720"/>
        <w:rPr>
          <w:rFonts w:ascii="Arial" w:hAnsi="Arial" w:cs="Arial"/>
        </w:rPr>
      </w:pPr>
      <w:r w:rsidRPr="001B62F2">
        <w:rPr>
          <w:rFonts w:ascii="Arial" w:hAnsi="Arial" w:cs="Arial"/>
        </w:rPr>
        <w:t xml:space="preserve">For RNS, the accounts with the highest likelihood of material misstatement are the revenue account, accounts receivable, inventory, R&amp;D expense account, and capitalization of R&amp;D. Due to the pressure management faces to meet performance targets in poor economic conditions, it is likely that the revenue and inventory accounts </w:t>
      </w:r>
      <w:r w:rsidR="003432F6" w:rsidRPr="001B62F2">
        <w:rPr>
          <w:rFonts w:ascii="Arial" w:hAnsi="Arial" w:cs="Arial"/>
        </w:rPr>
        <w:t>will be overestimated. It is expected that t</w:t>
      </w:r>
      <w:r w:rsidRPr="001B62F2">
        <w:rPr>
          <w:rFonts w:ascii="Arial" w:hAnsi="Arial" w:cs="Arial"/>
        </w:rPr>
        <w:t>he AR accoun</w:t>
      </w:r>
      <w:r w:rsidR="003432F6" w:rsidRPr="001B62F2">
        <w:rPr>
          <w:rFonts w:ascii="Arial" w:hAnsi="Arial" w:cs="Arial"/>
        </w:rPr>
        <w:t xml:space="preserve">t will be exaggerated </w:t>
      </w:r>
      <w:r w:rsidRPr="001B62F2">
        <w:rPr>
          <w:rFonts w:ascii="Arial" w:hAnsi="Arial" w:cs="Arial"/>
        </w:rPr>
        <w:t xml:space="preserve">with </w:t>
      </w:r>
      <w:r w:rsidR="003432F6" w:rsidRPr="001B62F2">
        <w:rPr>
          <w:rFonts w:ascii="Arial" w:hAnsi="Arial" w:cs="Arial"/>
        </w:rPr>
        <w:t xml:space="preserve">the </w:t>
      </w:r>
      <w:r w:rsidRPr="001B62F2">
        <w:rPr>
          <w:rFonts w:ascii="Arial" w:hAnsi="Arial" w:cs="Arial"/>
        </w:rPr>
        <w:t>allowance for doubtful debt</w:t>
      </w:r>
      <w:r w:rsidR="003432F6" w:rsidRPr="001B62F2">
        <w:rPr>
          <w:rFonts w:ascii="Arial" w:hAnsi="Arial" w:cs="Arial"/>
        </w:rPr>
        <w:t>s</w:t>
      </w:r>
      <w:r w:rsidRPr="001B62F2">
        <w:rPr>
          <w:rFonts w:ascii="Arial" w:hAnsi="Arial" w:cs="Arial"/>
        </w:rPr>
        <w:t xml:space="preserve"> underestimated. Business expenses could also be improperly classified as R&amp;D expenses to increase revenue. </w:t>
      </w:r>
    </w:p>
    <w:p w14:paraId="654F32D2" w14:textId="14B6C35B" w:rsidR="00B51DA6" w:rsidRPr="001B62F2" w:rsidRDefault="00B51DA6" w:rsidP="001B62F2">
      <w:pPr>
        <w:spacing w:line="480" w:lineRule="auto"/>
        <w:ind w:firstLine="720"/>
        <w:rPr>
          <w:rFonts w:ascii="Arial" w:hAnsi="Arial" w:cs="Arial"/>
        </w:rPr>
      </w:pPr>
      <w:r w:rsidRPr="001B62F2">
        <w:rPr>
          <w:rFonts w:ascii="Arial" w:hAnsi="Arial" w:cs="Arial"/>
        </w:rPr>
        <w:t>Having assessed the internal controls for these accounts and found them to be of low quality implying that the evidence can be tampered with, the auditor will collect external evidence to make up for the poor quality of the internal evidence. Indirect evidence will be collected first to assist in determining the extent of direct evidence that will be required for substantive tests of detail. Indirect evidence will be collected through substantive analytical procedures such as trend analysis of quarterly revenue after which direct audit evidence such as invoice amounts will be collected.</w:t>
      </w:r>
    </w:p>
    <w:p w14:paraId="6135FB3A" w14:textId="72CE87FA" w:rsidR="00B51DA6" w:rsidRPr="001B62F2" w:rsidRDefault="00B51DA6" w:rsidP="001B62F2">
      <w:pPr>
        <w:spacing w:line="480" w:lineRule="auto"/>
        <w:rPr>
          <w:rFonts w:ascii="Arial" w:hAnsi="Arial" w:cs="Arial"/>
          <w:b/>
        </w:rPr>
      </w:pPr>
      <w:r w:rsidRPr="001B62F2">
        <w:rPr>
          <w:rFonts w:ascii="Arial" w:hAnsi="Arial" w:cs="Arial"/>
          <w:b/>
        </w:rPr>
        <w:t>Evidence outside auditor’s universe</w:t>
      </w:r>
    </w:p>
    <w:p w14:paraId="1746F049" w14:textId="030E0C29" w:rsidR="00B51DA6" w:rsidRPr="001B62F2" w:rsidRDefault="00B51DA6" w:rsidP="001B62F2">
      <w:pPr>
        <w:spacing w:line="480" w:lineRule="auto"/>
        <w:ind w:firstLine="720"/>
        <w:rPr>
          <w:rFonts w:ascii="Arial" w:hAnsi="Arial" w:cs="Arial"/>
        </w:rPr>
      </w:pPr>
      <w:r w:rsidRPr="001B62F2">
        <w:rPr>
          <w:rFonts w:ascii="Arial" w:hAnsi="Arial" w:cs="Arial"/>
        </w:rPr>
        <w:t>The auditor has the option of using other evidence that would serve the same purpose as that found overseas or issuing an opinion for all other areas except that which he was unable to audit and indicate that he is unable to give a reliable opinion on this area. The AICPA warns against collecting more of the same type of evidence to make up for lack of other types of evidence</w:t>
      </w:r>
      <w:r w:rsidR="0052404D" w:rsidRPr="001B62F2">
        <w:rPr>
          <w:rFonts w:ascii="Arial" w:hAnsi="Arial" w:cs="Arial"/>
        </w:rPr>
        <w:t xml:space="preserve"> (Johnstone et al., 2013)</w:t>
      </w:r>
      <w:r w:rsidRPr="001B62F2">
        <w:rPr>
          <w:rFonts w:ascii="Arial" w:hAnsi="Arial" w:cs="Arial"/>
        </w:rPr>
        <w:t xml:space="preserve">. The auditor should, therefore, collect different types of evidence that could logically replace the evidence out of his purview. </w:t>
      </w:r>
    </w:p>
    <w:p w14:paraId="2BA12684" w14:textId="2F7CF088" w:rsidR="00B51DA6" w:rsidRPr="001B62F2" w:rsidRDefault="00B51DA6" w:rsidP="001B62F2">
      <w:pPr>
        <w:spacing w:line="480" w:lineRule="auto"/>
        <w:rPr>
          <w:rFonts w:ascii="Arial" w:hAnsi="Arial" w:cs="Arial"/>
          <w:b/>
        </w:rPr>
      </w:pPr>
      <w:r w:rsidRPr="001B62F2">
        <w:rPr>
          <w:rFonts w:ascii="Arial" w:hAnsi="Arial" w:cs="Arial"/>
          <w:b/>
        </w:rPr>
        <w:t>Analytical procedures used to determine sampling program</w:t>
      </w:r>
    </w:p>
    <w:p w14:paraId="60AEE55E" w14:textId="7B6F95D8" w:rsidR="00B51DA6" w:rsidRPr="001B62F2" w:rsidRDefault="00B51DA6" w:rsidP="001B62F2">
      <w:pPr>
        <w:spacing w:line="480" w:lineRule="auto"/>
        <w:ind w:firstLine="720"/>
        <w:rPr>
          <w:rFonts w:ascii="Arial" w:hAnsi="Arial" w:cs="Arial"/>
        </w:rPr>
      </w:pPr>
      <w:r w:rsidRPr="001B62F2">
        <w:rPr>
          <w:rFonts w:ascii="Arial" w:hAnsi="Arial" w:cs="Arial"/>
        </w:rPr>
        <w:t>Using analytical procedures</w:t>
      </w:r>
      <w:r w:rsidR="00CC74CC" w:rsidRPr="001B62F2">
        <w:rPr>
          <w:rFonts w:ascii="Arial" w:hAnsi="Arial" w:cs="Arial"/>
        </w:rPr>
        <w:t>,</w:t>
      </w:r>
      <w:r w:rsidRPr="001B62F2">
        <w:rPr>
          <w:rFonts w:ascii="Arial" w:hAnsi="Arial" w:cs="Arial"/>
        </w:rPr>
        <w:t xml:space="preserve"> the auditor can determine the extent to which management’s assertions for a specific account differ from his expectations for the account. The auditor’s expectations are based on comparable financial performance from previous periods, industry performance, non-financial information, for example, economic conditions and anticipated financial results. Using trend analysis, ratio analysis and tests of reason, the auditor can identify unexpected account values. </w:t>
      </w:r>
    </w:p>
    <w:p w14:paraId="063ACC9A" w14:textId="72C25D3A" w:rsidR="00B51DA6" w:rsidRPr="001B62F2" w:rsidRDefault="00B51DA6" w:rsidP="001B62F2">
      <w:pPr>
        <w:spacing w:line="480" w:lineRule="auto"/>
        <w:ind w:firstLine="720"/>
        <w:rPr>
          <w:rFonts w:ascii="Arial" w:hAnsi="Arial" w:cs="Arial"/>
        </w:rPr>
      </w:pPr>
      <w:r w:rsidRPr="001B62F2">
        <w:rPr>
          <w:rFonts w:ascii="Arial" w:hAnsi="Arial" w:cs="Arial"/>
        </w:rPr>
        <w:t>When deciding on the sampling design and size, the auditor seeks to minimize the audit risk, which comprises of inherent, detection and control risk</w:t>
      </w:r>
      <w:r w:rsidR="00580308" w:rsidRPr="001B62F2">
        <w:rPr>
          <w:rFonts w:ascii="Arial" w:hAnsi="Arial" w:cs="Arial"/>
        </w:rPr>
        <w:t xml:space="preserve"> (Hayes et al., 2013)</w:t>
      </w:r>
      <w:r w:rsidRPr="001B62F2">
        <w:rPr>
          <w:rFonts w:ascii="Arial" w:hAnsi="Arial" w:cs="Arial"/>
        </w:rPr>
        <w:t>. An audit of the company’s internal control procedures indicates the level of control risk. Having assessed the internal controls related to the recording of sal</w:t>
      </w:r>
      <w:r w:rsidR="004E4E33" w:rsidRPr="001B62F2">
        <w:rPr>
          <w:rFonts w:ascii="Arial" w:hAnsi="Arial" w:cs="Arial"/>
        </w:rPr>
        <w:t>es, for example, the auditor then</w:t>
      </w:r>
      <w:r w:rsidRPr="001B62F2">
        <w:rPr>
          <w:rFonts w:ascii="Arial" w:hAnsi="Arial" w:cs="Arial"/>
        </w:rPr>
        <w:t xml:space="preserve"> evaluate</w:t>
      </w:r>
      <w:r w:rsidR="004E4E33" w:rsidRPr="001B62F2">
        <w:rPr>
          <w:rFonts w:ascii="Arial" w:hAnsi="Arial" w:cs="Arial"/>
        </w:rPr>
        <w:t>s</w:t>
      </w:r>
      <w:r w:rsidRPr="001B62F2">
        <w:rPr>
          <w:rFonts w:ascii="Arial" w:hAnsi="Arial" w:cs="Arial"/>
        </w:rPr>
        <w:t xml:space="preserve"> the extent to which the internal controls related to the revenue account can prevent material misstatements</w:t>
      </w:r>
      <w:r w:rsidR="00580308" w:rsidRPr="001B62F2">
        <w:rPr>
          <w:rFonts w:ascii="Arial" w:hAnsi="Arial" w:cs="Arial"/>
        </w:rPr>
        <w:t xml:space="preserve"> (Hayes et al., 2013)</w:t>
      </w:r>
      <w:r w:rsidRPr="001B62F2">
        <w:rPr>
          <w:rFonts w:ascii="Arial" w:hAnsi="Arial" w:cs="Arial"/>
        </w:rPr>
        <w:t xml:space="preserve">. If the risk is high, he will decide on a large sample size. An analysis of internal </w:t>
      </w:r>
      <w:r w:rsidR="00580308" w:rsidRPr="001B62F2">
        <w:rPr>
          <w:rFonts w:ascii="Arial" w:hAnsi="Arial" w:cs="Arial"/>
        </w:rPr>
        <w:t>controls also indicates the category</w:t>
      </w:r>
      <w:r w:rsidRPr="001B62F2">
        <w:rPr>
          <w:rFonts w:ascii="Arial" w:hAnsi="Arial" w:cs="Arial"/>
        </w:rPr>
        <w:t xml:space="preserve"> of revenue</w:t>
      </w:r>
      <w:r w:rsidR="00580308" w:rsidRPr="001B62F2">
        <w:rPr>
          <w:rFonts w:ascii="Arial" w:hAnsi="Arial" w:cs="Arial"/>
        </w:rPr>
        <w:t>s</w:t>
      </w:r>
      <w:r w:rsidRPr="001B62F2">
        <w:rPr>
          <w:rFonts w:ascii="Arial" w:hAnsi="Arial" w:cs="Arial"/>
        </w:rPr>
        <w:t xml:space="preserve"> for which a material misstatement is expected. For example, in the absence of effective cash controls, cash payments a</w:t>
      </w:r>
      <w:r w:rsidR="00580308" w:rsidRPr="001B62F2">
        <w:rPr>
          <w:rFonts w:ascii="Arial" w:hAnsi="Arial" w:cs="Arial"/>
        </w:rPr>
        <w:t xml:space="preserve">re expected to have a higher </w:t>
      </w:r>
      <w:r w:rsidRPr="001B62F2">
        <w:rPr>
          <w:rFonts w:ascii="Arial" w:hAnsi="Arial" w:cs="Arial"/>
        </w:rPr>
        <w:t>risk of material misstatement</w:t>
      </w:r>
      <w:r w:rsidR="00580308" w:rsidRPr="001B62F2">
        <w:rPr>
          <w:rFonts w:ascii="Arial" w:hAnsi="Arial" w:cs="Arial"/>
        </w:rPr>
        <w:t xml:space="preserve"> than credit card payments</w:t>
      </w:r>
      <w:r w:rsidRPr="001B62F2">
        <w:rPr>
          <w:rFonts w:ascii="Arial" w:hAnsi="Arial" w:cs="Arial"/>
        </w:rPr>
        <w:t>. The auditor can, therefore, settle on a stratified samplin</w:t>
      </w:r>
      <w:r w:rsidR="00580308" w:rsidRPr="001B62F2">
        <w:rPr>
          <w:rFonts w:ascii="Arial" w:hAnsi="Arial" w:cs="Arial"/>
        </w:rPr>
        <w:t>g design with more cash payment</w:t>
      </w:r>
      <w:r w:rsidRPr="001B62F2">
        <w:rPr>
          <w:rFonts w:ascii="Arial" w:hAnsi="Arial" w:cs="Arial"/>
        </w:rPr>
        <w:t xml:space="preserve"> elements included in the sample.</w:t>
      </w:r>
    </w:p>
    <w:p w14:paraId="0B07112C" w14:textId="7D6BD56B" w:rsidR="00F1102B" w:rsidRPr="001B62F2" w:rsidRDefault="00202F8D" w:rsidP="001B62F2">
      <w:pPr>
        <w:spacing w:line="480" w:lineRule="auto"/>
        <w:rPr>
          <w:rFonts w:ascii="Arial" w:hAnsi="Arial" w:cs="Arial"/>
          <w:b/>
          <w:color w:val="000000" w:themeColor="text1"/>
        </w:rPr>
      </w:pPr>
      <w:r w:rsidRPr="001B62F2">
        <w:rPr>
          <w:rFonts w:ascii="Arial" w:hAnsi="Arial" w:cs="Arial"/>
          <w:b/>
          <w:i/>
          <w:color w:val="000000" w:themeColor="text1"/>
        </w:rPr>
        <w:t>A</w:t>
      </w:r>
      <w:r w:rsidR="00F1102B" w:rsidRPr="001B62F2">
        <w:rPr>
          <w:rFonts w:ascii="Arial" w:hAnsi="Arial" w:cs="Arial"/>
          <w:b/>
          <w:i/>
          <w:color w:val="000000" w:themeColor="text1"/>
        </w:rPr>
        <w:t>udit evidence requested from company</w:t>
      </w:r>
    </w:p>
    <w:p w14:paraId="77F7515D" w14:textId="77777777" w:rsidR="00202F8D" w:rsidRPr="001B62F2" w:rsidRDefault="00202F8D" w:rsidP="001B62F2">
      <w:pPr>
        <w:pStyle w:val="ListParagraph"/>
        <w:numPr>
          <w:ilvl w:val="0"/>
          <w:numId w:val="2"/>
        </w:numPr>
        <w:spacing w:line="480" w:lineRule="auto"/>
        <w:rPr>
          <w:rFonts w:ascii="Arial" w:hAnsi="Arial" w:cs="Arial"/>
        </w:rPr>
      </w:pPr>
      <w:r w:rsidRPr="001B62F2">
        <w:rPr>
          <w:rFonts w:ascii="Arial" w:hAnsi="Arial" w:cs="Arial"/>
        </w:rPr>
        <w:t>Original documentation vouching for existence of reported sales</w:t>
      </w:r>
    </w:p>
    <w:p w14:paraId="53FBD453" w14:textId="4EFD8AC6" w:rsidR="00E742E8" w:rsidRPr="001B62F2" w:rsidRDefault="00E742E8" w:rsidP="001B62F2">
      <w:pPr>
        <w:pStyle w:val="ListParagraph"/>
        <w:numPr>
          <w:ilvl w:val="1"/>
          <w:numId w:val="2"/>
        </w:numPr>
        <w:spacing w:line="480" w:lineRule="auto"/>
        <w:rPr>
          <w:rFonts w:ascii="Arial" w:hAnsi="Arial" w:cs="Arial"/>
        </w:rPr>
      </w:pPr>
      <w:r w:rsidRPr="001B62F2">
        <w:rPr>
          <w:rFonts w:ascii="Arial" w:hAnsi="Arial" w:cs="Arial"/>
        </w:rPr>
        <w:t>Pre-numbered billing documents such as invoices- Test for management’s existence and valuation assertions</w:t>
      </w:r>
    </w:p>
    <w:p w14:paraId="292A7AEF" w14:textId="1FB197A9" w:rsidR="00F1102B" w:rsidRPr="001B62F2" w:rsidRDefault="00E742E8" w:rsidP="001B62F2">
      <w:pPr>
        <w:pStyle w:val="ListParagraph"/>
        <w:numPr>
          <w:ilvl w:val="1"/>
          <w:numId w:val="2"/>
        </w:numPr>
        <w:spacing w:line="480" w:lineRule="auto"/>
        <w:rPr>
          <w:rFonts w:ascii="Arial" w:hAnsi="Arial" w:cs="Arial"/>
        </w:rPr>
      </w:pPr>
      <w:r w:rsidRPr="001B62F2">
        <w:rPr>
          <w:rFonts w:ascii="Arial" w:hAnsi="Arial" w:cs="Arial"/>
        </w:rPr>
        <w:t>S</w:t>
      </w:r>
      <w:r w:rsidR="00F1102B" w:rsidRPr="001B62F2">
        <w:rPr>
          <w:rFonts w:ascii="Arial" w:hAnsi="Arial" w:cs="Arial"/>
        </w:rPr>
        <w:t>ales journal- vouch for</w:t>
      </w:r>
      <w:r w:rsidRPr="001B62F2">
        <w:rPr>
          <w:rFonts w:ascii="Arial" w:hAnsi="Arial" w:cs="Arial"/>
        </w:rPr>
        <w:t xml:space="preserve"> the existence of reported sales</w:t>
      </w:r>
    </w:p>
    <w:p w14:paraId="69CFBAB1" w14:textId="7592A81D" w:rsidR="006900D6" w:rsidRPr="001B62F2" w:rsidRDefault="006900D6" w:rsidP="001B62F2">
      <w:pPr>
        <w:pStyle w:val="ListParagraph"/>
        <w:numPr>
          <w:ilvl w:val="1"/>
          <w:numId w:val="2"/>
        </w:numPr>
        <w:spacing w:line="480" w:lineRule="auto"/>
        <w:rPr>
          <w:rFonts w:ascii="Arial" w:hAnsi="Arial" w:cs="Arial"/>
        </w:rPr>
      </w:pPr>
      <w:r w:rsidRPr="001B62F2">
        <w:rPr>
          <w:rFonts w:ascii="Arial" w:hAnsi="Arial" w:cs="Arial"/>
        </w:rPr>
        <w:t>R</w:t>
      </w:r>
      <w:r w:rsidR="00E742E8" w:rsidRPr="001B62F2">
        <w:rPr>
          <w:rFonts w:ascii="Arial" w:hAnsi="Arial" w:cs="Arial"/>
        </w:rPr>
        <w:t>evenue receipt documents such as r</w:t>
      </w:r>
      <w:r w:rsidRPr="001B62F2">
        <w:rPr>
          <w:rFonts w:ascii="Arial" w:hAnsi="Arial" w:cs="Arial"/>
        </w:rPr>
        <w:t>eceipts</w:t>
      </w:r>
      <w:r w:rsidR="00E742E8" w:rsidRPr="001B62F2">
        <w:rPr>
          <w:rFonts w:ascii="Arial" w:hAnsi="Arial" w:cs="Arial"/>
        </w:rPr>
        <w:t>- assess cut-off assertion</w:t>
      </w:r>
    </w:p>
    <w:p w14:paraId="6FBA560C" w14:textId="76EDD95B" w:rsidR="00202F8D" w:rsidRPr="001B62F2" w:rsidRDefault="00E742E8" w:rsidP="001B62F2">
      <w:pPr>
        <w:pStyle w:val="ListParagraph"/>
        <w:numPr>
          <w:ilvl w:val="1"/>
          <w:numId w:val="2"/>
        </w:numPr>
        <w:spacing w:line="480" w:lineRule="auto"/>
        <w:rPr>
          <w:rFonts w:ascii="Arial" w:hAnsi="Arial" w:cs="Arial"/>
        </w:rPr>
      </w:pPr>
      <w:r w:rsidRPr="001B62F2">
        <w:rPr>
          <w:rFonts w:ascii="Arial" w:hAnsi="Arial" w:cs="Arial"/>
        </w:rPr>
        <w:t xml:space="preserve">Pre-numbered shipping documents </w:t>
      </w:r>
    </w:p>
    <w:p w14:paraId="27496C13" w14:textId="59D62E6E" w:rsidR="00202F8D" w:rsidRPr="001B62F2" w:rsidRDefault="00202F8D" w:rsidP="001B62F2">
      <w:pPr>
        <w:pStyle w:val="ListParagraph"/>
        <w:numPr>
          <w:ilvl w:val="0"/>
          <w:numId w:val="2"/>
        </w:numPr>
        <w:spacing w:line="480" w:lineRule="auto"/>
        <w:rPr>
          <w:rFonts w:ascii="Arial" w:hAnsi="Arial" w:cs="Arial"/>
        </w:rPr>
      </w:pPr>
      <w:r w:rsidRPr="001B62F2">
        <w:rPr>
          <w:rFonts w:ascii="Arial" w:hAnsi="Arial" w:cs="Arial"/>
        </w:rPr>
        <w:t>Expenses related to the Research and Development expense</w:t>
      </w:r>
    </w:p>
    <w:p w14:paraId="497245D7" w14:textId="26B62787" w:rsidR="000E014E" w:rsidRPr="001B62F2" w:rsidRDefault="000E014E" w:rsidP="001B62F2">
      <w:pPr>
        <w:pStyle w:val="ListParagraph"/>
        <w:numPr>
          <w:ilvl w:val="1"/>
          <w:numId w:val="2"/>
        </w:numPr>
        <w:spacing w:line="480" w:lineRule="auto"/>
        <w:rPr>
          <w:rFonts w:ascii="Arial" w:hAnsi="Arial" w:cs="Arial"/>
        </w:rPr>
      </w:pPr>
      <w:r w:rsidRPr="001B62F2">
        <w:rPr>
          <w:rFonts w:ascii="Arial" w:hAnsi="Arial" w:cs="Arial"/>
        </w:rPr>
        <w:t>Vendor invoices</w:t>
      </w:r>
      <w:r w:rsidR="00E742E8" w:rsidRPr="001B62F2">
        <w:rPr>
          <w:rFonts w:ascii="Arial" w:hAnsi="Arial" w:cs="Arial"/>
        </w:rPr>
        <w:t>- Test for existence</w:t>
      </w:r>
    </w:p>
    <w:p w14:paraId="4D046212" w14:textId="351729A1" w:rsidR="000E014E" w:rsidRPr="001B62F2" w:rsidRDefault="006900D6" w:rsidP="001B62F2">
      <w:pPr>
        <w:pStyle w:val="ListParagraph"/>
        <w:numPr>
          <w:ilvl w:val="1"/>
          <w:numId w:val="2"/>
        </w:numPr>
        <w:spacing w:line="480" w:lineRule="auto"/>
        <w:rPr>
          <w:rFonts w:ascii="Arial" w:hAnsi="Arial" w:cs="Arial"/>
        </w:rPr>
      </w:pPr>
      <w:r w:rsidRPr="001B62F2">
        <w:rPr>
          <w:rFonts w:ascii="Arial" w:hAnsi="Arial" w:cs="Arial"/>
        </w:rPr>
        <w:t>Payment receipts</w:t>
      </w:r>
      <w:r w:rsidR="00E742E8" w:rsidRPr="001B62F2">
        <w:rPr>
          <w:rFonts w:ascii="Arial" w:hAnsi="Arial" w:cs="Arial"/>
        </w:rPr>
        <w:t>- Test for completeness</w:t>
      </w:r>
    </w:p>
    <w:p w14:paraId="35EBE4DB" w14:textId="57AE5695" w:rsidR="006900D6" w:rsidRPr="001B62F2" w:rsidRDefault="006900D6" w:rsidP="001B62F2">
      <w:pPr>
        <w:pStyle w:val="ListParagraph"/>
        <w:numPr>
          <w:ilvl w:val="0"/>
          <w:numId w:val="2"/>
        </w:numPr>
        <w:spacing w:line="480" w:lineRule="auto"/>
        <w:rPr>
          <w:rFonts w:ascii="Arial" w:hAnsi="Arial" w:cs="Arial"/>
        </w:rPr>
      </w:pPr>
      <w:r w:rsidRPr="001B62F2">
        <w:rPr>
          <w:rFonts w:ascii="Arial" w:hAnsi="Arial" w:cs="Arial"/>
        </w:rPr>
        <w:t>Accounts receivable evidence</w:t>
      </w:r>
    </w:p>
    <w:p w14:paraId="5DBAF445" w14:textId="16484577" w:rsidR="00F1102B" w:rsidRPr="001B62F2" w:rsidRDefault="00202F8D" w:rsidP="001B62F2">
      <w:pPr>
        <w:pStyle w:val="ListParagraph"/>
        <w:numPr>
          <w:ilvl w:val="1"/>
          <w:numId w:val="2"/>
        </w:numPr>
        <w:spacing w:line="480" w:lineRule="auto"/>
        <w:rPr>
          <w:rFonts w:ascii="Arial" w:hAnsi="Arial" w:cs="Arial"/>
        </w:rPr>
      </w:pPr>
      <w:r w:rsidRPr="001B62F2">
        <w:rPr>
          <w:rFonts w:ascii="Arial" w:hAnsi="Arial" w:cs="Arial"/>
        </w:rPr>
        <w:t>Aging trial balance</w:t>
      </w:r>
      <w:r w:rsidR="00E742E8" w:rsidRPr="001B62F2">
        <w:rPr>
          <w:rFonts w:ascii="Arial" w:hAnsi="Arial" w:cs="Arial"/>
        </w:rPr>
        <w:t>- Assess valuation</w:t>
      </w:r>
    </w:p>
    <w:p w14:paraId="563C7E8D" w14:textId="532CB5CB" w:rsidR="006900D6" w:rsidRPr="001B62F2" w:rsidRDefault="006900D6" w:rsidP="001B62F2">
      <w:pPr>
        <w:pStyle w:val="ListParagraph"/>
        <w:numPr>
          <w:ilvl w:val="1"/>
          <w:numId w:val="2"/>
        </w:numPr>
        <w:spacing w:line="480" w:lineRule="auto"/>
        <w:rPr>
          <w:rFonts w:ascii="Arial" w:hAnsi="Arial" w:cs="Arial"/>
        </w:rPr>
      </w:pPr>
      <w:r w:rsidRPr="001B62F2">
        <w:rPr>
          <w:rFonts w:ascii="Arial" w:hAnsi="Arial" w:cs="Arial"/>
        </w:rPr>
        <w:t>Basis for the determination of allowance for doubtful debts</w:t>
      </w:r>
      <w:r w:rsidR="00E742E8" w:rsidRPr="001B62F2">
        <w:rPr>
          <w:rFonts w:ascii="Arial" w:hAnsi="Arial" w:cs="Arial"/>
        </w:rPr>
        <w:t>- Assess valuation</w:t>
      </w:r>
    </w:p>
    <w:p w14:paraId="090AC9BC" w14:textId="54A4D92F" w:rsidR="006900D6" w:rsidRPr="001B62F2" w:rsidRDefault="006900D6" w:rsidP="001B62F2">
      <w:pPr>
        <w:pStyle w:val="ListParagraph"/>
        <w:numPr>
          <w:ilvl w:val="1"/>
          <w:numId w:val="2"/>
        </w:numPr>
        <w:spacing w:line="480" w:lineRule="auto"/>
        <w:rPr>
          <w:rFonts w:ascii="Arial" w:hAnsi="Arial" w:cs="Arial"/>
        </w:rPr>
      </w:pPr>
      <w:r w:rsidRPr="001B62F2">
        <w:rPr>
          <w:rFonts w:ascii="Arial" w:hAnsi="Arial" w:cs="Arial"/>
        </w:rPr>
        <w:t>Permission to communicate with customers regarding their AR balance</w:t>
      </w:r>
      <w:r w:rsidR="00E742E8" w:rsidRPr="001B62F2">
        <w:rPr>
          <w:rFonts w:ascii="Arial" w:hAnsi="Arial" w:cs="Arial"/>
        </w:rPr>
        <w:t>- Assess the existence assertion</w:t>
      </w:r>
    </w:p>
    <w:p w14:paraId="42941708" w14:textId="7F666367" w:rsidR="000E014E" w:rsidRPr="001B62F2" w:rsidRDefault="000E014E" w:rsidP="001B62F2">
      <w:pPr>
        <w:pStyle w:val="ListParagraph"/>
        <w:numPr>
          <w:ilvl w:val="0"/>
          <w:numId w:val="2"/>
        </w:numPr>
        <w:spacing w:line="480" w:lineRule="auto"/>
        <w:rPr>
          <w:rFonts w:ascii="Arial" w:hAnsi="Arial" w:cs="Arial"/>
        </w:rPr>
      </w:pPr>
      <w:r w:rsidRPr="001B62F2">
        <w:rPr>
          <w:rFonts w:ascii="Arial" w:hAnsi="Arial" w:cs="Arial"/>
        </w:rPr>
        <w:t>Inventory documentation</w:t>
      </w:r>
    </w:p>
    <w:p w14:paraId="0F4340B6" w14:textId="55DE2B91" w:rsidR="000E014E" w:rsidRPr="001B62F2" w:rsidRDefault="000E014E" w:rsidP="001B62F2">
      <w:pPr>
        <w:pStyle w:val="ListParagraph"/>
        <w:numPr>
          <w:ilvl w:val="1"/>
          <w:numId w:val="2"/>
        </w:numPr>
        <w:spacing w:line="480" w:lineRule="auto"/>
        <w:rPr>
          <w:rFonts w:ascii="Arial" w:hAnsi="Arial" w:cs="Arial"/>
        </w:rPr>
      </w:pPr>
      <w:r w:rsidRPr="001B62F2">
        <w:rPr>
          <w:rFonts w:ascii="Arial" w:hAnsi="Arial" w:cs="Arial"/>
        </w:rPr>
        <w:t>Vendor invoices</w:t>
      </w:r>
      <w:r w:rsidR="00EB45F4" w:rsidRPr="001B62F2">
        <w:rPr>
          <w:rFonts w:ascii="Arial" w:hAnsi="Arial" w:cs="Arial"/>
        </w:rPr>
        <w:t>- Existence</w:t>
      </w:r>
    </w:p>
    <w:p w14:paraId="5653A205" w14:textId="473A4785" w:rsidR="000E014E" w:rsidRPr="001B62F2" w:rsidRDefault="000E014E" w:rsidP="001B62F2">
      <w:pPr>
        <w:pStyle w:val="ListParagraph"/>
        <w:numPr>
          <w:ilvl w:val="1"/>
          <w:numId w:val="2"/>
        </w:numPr>
        <w:spacing w:line="480" w:lineRule="auto"/>
        <w:rPr>
          <w:rFonts w:ascii="Arial" w:hAnsi="Arial" w:cs="Arial"/>
        </w:rPr>
      </w:pPr>
      <w:r w:rsidRPr="001B62F2">
        <w:rPr>
          <w:rFonts w:ascii="Arial" w:hAnsi="Arial" w:cs="Arial"/>
        </w:rPr>
        <w:t>Inventory count sheets</w:t>
      </w:r>
      <w:r w:rsidR="00EB45F4" w:rsidRPr="001B62F2">
        <w:rPr>
          <w:rFonts w:ascii="Arial" w:hAnsi="Arial" w:cs="Arial"/>
        </w:rPr>
        <w:t>- Existence and completeness</w:t>
      </w:r>
    </w:p>
    <w:p w14:paraId="5586C229" w14:textId="77777777" w:rsidR="00F1102B" w:rsidRPr="001B62F2" w:rsidRDefault="00F1102B" w:rsidP="001B62F2">
      <w:pPr>
        <w:spacing w:line="480" w:lineRule="auto"/>
        <w:rPr>
          <w:rFonts w:ascii="Arial" w:hAnsi="Arial" w:cs="Arial"/>
          <w:b/>
          <w:i/>
        </w:rPr>
      </w:pPr>
      <w:r w:rsidRPr="001B62F2">
        <w:rPr>
          <w:rFonts w:ascii="Arial" w:hAnsi="Arial" w:cs="Arial"/>
          <w:b/>
          <w:i/>
        </w:rPr>
        <w:t>Considerations in auditing subjective areas</w:t>
      </w:r>
    </w:p>
    <w:p w14:paraId="6FBB6824" w14:textId="5F515B3C" w:rsidR="00F753C0" w:rsidRPr="001B62F2" w:rsidRDefault="00F22DD2" w:rsidP="001B62F2">
      <w:pPr>
        <w:spacing w:line="480" w:lineRule="auto"/>
        <w:ind w:firstLine="720"/>
        <w:rPr>
          <w:rFonts w:ascii="Arial" w:hAnsi="Arial" w:cs="Arial"/>
        </w:rPr>
      </w:pPr>
      <w:r w:rsidRPr="001B62F2">
        <w:rPr>
          <w:rFonts w:ascii="Arial" w:hAnsi="Arial" w:cs="Arial"/>
        </w:rPr>
        <w:t>The valuation of allowance of doubtful debts and some areas of revenue recognition are subjective with limited guidance on the auditing procedure. The allowance of doubtful debt is for example condu</w:t>
      </w:r>
      <w:r w:rsidR="008564F5" w:rsidRPr="001B62F2">
        <w:rPr>
          <w:rFonts w:ascii="Arial" w:hAnsi="Arial" w:cs="Arial"/>
        </w:rPr>
        <w:t>cted based on management’s judg</w:t>
      </w:r>
      <w:r w:rsidRPr="001B62F2">
        <w:rPr>
          <w:rFonts w:ascii="Arial" w:hAnsi="Arial" w:cs="Arial"/>
        </w:rPr>
        <w:t xml:space="preserve">ment and the SEC and other bodies do not provide objective guidance on auditing this area. The auditor is, however, guided by the principle of professional skepticism. He or she can evaluate management’s method of determining the AR value </w:t>
      </w:r>
      <w:r w:rsidR="00F753C0" w:rsidRPr="001B62F2">
        <w:rPr>
          <w:rFonts w:ascii="Arial" w:hAnsi="Arial" w:cs="Arial"/>
        </w:rPr>
        <w:t>and if management has been consistent in complying with the procedure. The determination of whether revenue recognition approaches consist of earnings management or comply with regulation can also appear to be subjective but the SEC has issued guidance on most grey areas in revenue recognition</w:t>
      </w:r>
      <w:r w:rsidR="00BA52A9" w:rsidRPr="001B62F2">
        <w:rPr>
          <w:rFonts w:ascii="Arial" w:hAnsi="Arial" w:cs="Arial"/>
        </w:rPr>
        <w:t xml:space="preserve"> (Johnstone et al., 2013)</w:t>
      </w:r>
      <w:r w:rsidR="00F753C0" w:rsidRPr="001B62F2">
        <w:rPr>
          <w:rFonts w:ascii="Arial" w:hAnsi="Arial" w:cs="Arial"/>
        </w:rPr>
        <w:t xml:space="preserve">. The auditor should be familiar with additional guidance on revenue recognition issued by accounting and regulatory bodies </w:t>
      </w:r>
    </w:p>
    <w:p w14:paraId="239DC38D" w14:textId="10B61E25" w:rsidR="00F1102B" w:rsidRPr="001B62F2" w:rsidRDefault="004E4E33" w:rsidP="001B62F2">
      <w:pPr>
        <w:spacing w:line="480" w:lineRule="auto"/>
        <w:rPr>
          <w:rFonts w:ascii="Arial" w:hAnsi="Arial" w:cs="Arial"/>
          <w:b/>
          <w:i/>
        </w:rPr>
      </w:pPr>
      <w:r w:rsidRPr="001B62F2">
        <w:rPr>
          <w:rFonts w:ascii="Arial" w:hAnsi="Arial" w:cs="Arial"/>
          <w:b/>
          <w:i/>
        </w:rPr>
        <w:t>P</w:t>
      </w:r>
      <w:r w:rsidR="00F1102B" w:rsidRPr="001B62F2">
        <w:rPr>
          <w:rFonts w:ascii="Arial" w:hAnsi="Arial" w:cs="Arial"/>
          <w:b/>
          <w:i/>
        </w:rPr>
        <w:t>lanning nature and extent of audit documentation</w:t>
      </w:r>
    </w:p>
    <w:p w14:paraId="36A20B9B" w14:textId="00854835" w:rsidR="00203EBF" w:rsidRPr="001B62F2" w:rsidRDefault="002756A4" w:rsidP="001B62F2">
      <w:pPr>
        <w:spacing w:line="480" w:lineRule="auto"/>
        <w:rPr>
          <w:rFonts w:ascii="Arial" w:hAnsi="Arial" w:cs="Arial"/>
        </w:rPr>
      </w:pPr>
      <w:r w:rsidRPr="001B62F2">
        <w:rPr>
          <w:rFonts w:ascii="Arial" w:hAnsi="Arial" w:cs="Arial"/>
        </w:rPr>
        <w:tab/>
      </w:r>
      <w:r w:rsidR="00203EBF" w:rsidRPr="001B62F2">
        <w:rPr>
          <w:rFonts w:ascii="Arial" w:hAnsi="Arial" w:cs="Arial"/>
        </w:rPr>
        <w:t>Audit documentation refers to the records kept by the auditor consisting of the audit planning process, the performance of the audit, the audit evidence and the basis on which the repor</w:t>
      </w:r>
      <w:r w:rsidR="007135B3" w:rsidRPr="001B62F2">
        <w:rPr>
          <w:rFonts w:ascii="Arial" w:hAnsi="Arial" w:cs="Arial"/>
        </w:rPr>
        <w:t>ted conclusion was reached. Hayes et al. (2014)</w:t>
      </w:r>
      <w:r w:rsidR="00F65687" w:rsidRPr="001B62F2">
        <w:rPr>
          <w:rFonts w:ascii="Arial" w:hAnsi="Arial" w:cs="Arial"/>
        </w:rPr>
        <w:t xml:space="preserve"> recommend</w:t>
      </w:r>
      <w:r w:rsidR="00203EBF" w:rsidRPr="001B62F2">
        <w:rPr>
          <w:rFonts w:ascii="Arial" w:hAnsi="Arial" w:cs="Arial"/>
        </w:rPr>
        <w:t xml:space="preserve"> that when deciding on the extent of documentation, auditors should include the components necessary for an auditor who has little knowledge of the company to understand the manner in which the auditor arrived at the issued opinion.</w:t>
      </w:r>
    </w:p>
    <w:p w14:paraId="78D34355" w14:textId="09A51261" w:rsidR="00203EBF" w:rsidRPr="001B62F2" w:rsidRDefault="00203EBF" w:rsidP="001B62F2">
      <w:pPr>
        <w:pStyle w:val="ListParagraph"/>
        <w:numPr>
          <w:ilvl w:val="0"/>
          <w:numId w:val="3"/>
        </w:numPr>
        <w:spacing w:line="480" w:lineRule="auto"/>
        <w:rPr>
          <w:rFonts w:ascii="Arial" w:hAnsi="Arial" w:cs="Arial"/>
        </w:rPr>
      </w:pPr>
      <w:r w:rsidRPr="001B62F2">
        <w:rPr>
          <w:rFonts w:ascii="Arial" w:hAnsi="Arial" w:cs="Arial"/>
        </w:rPr>
        <w:t>The complexity of internal controls</w:t>
      </w:r>
    </w:p>
    <w:p w14:paraId="5BCB0FF5" w14:textId="45B432E7" w:rsidR="00203EBF" w:rsidRPr="001B62F2" w:rsidRDefault="00203EBF" w:rsidP="001B62F2">
      <w:pPr>
        <w:pStyle w:val="ListParagraph"/>
        <w:numPr>
          <w:ilvl w:val="0"/>
          <w:numId w:val="3"/>
        </w:numPr>
        <w:spacing w:line="480" w:lineRule="auto"/>
        <w:rPr>
          <w:rFonts w:ascii="Arial" w:hAnsi="Arial" w:cs="Arial"/>
        </w:rPr>
      </w:pPr>
      <w:r w:rsidRPr="001B62F2">
        <w:rPr>
          <w:rFonts w:ascii="Arial" w:hAnsi="Arial" w:cs="Arial"/>
        </w:rPr>
        <w:t>The complexity of the business operations</w:t>
      </w:r>
    </w:p>
    <w:p w14:paraId="1AB4D763" w14:textId="26B7BD52" w:rsidR="00203EBF" w:rsidRPr="001B62F2" w:rsidRDefault="00203EBF" w:rsidP="001B62F2">
      <w:pPr>
        <w:pStyle w:val="ListParagraph"/>
        <w:numPr>
          <w:ilvl w:val="0"/>
          <w:numId w:val="3"/>
        </w:numPr>
        <w:spacing w:line="480" w:lineRule="auto"/>
        <w:rPr>
          <w:rFonts w:ascii="Arial" w:hAnsi="Arial" w:cs="Arial"/>
        </w:rPr>
      </w:pPr>
      <w:r w:rsidRPr="001B62F2">
        <w:rPr>
          <w:rFonts w:ascii="Arial" w:hAnsi="Arial" w:cs="Arial"/>
        </w:rPr>
        <w:t>The scope of the audit</w:t>
      </w:r>
    </w:p>
    <w:p w14:paraId="2C56BD34" w14:textId="6334A383" w:rsidR="00203EBF" w:rsidRPr="001B62F2" w:rsidRDefault="00203EBF" w:rsidP="001B62F2">
      <w:pPr>
        <w:pStyle w:val="ListParagraph"/>
        <w:numPr>
          <w:ilvl w:val="0"/>
          <w:numId w:val="3"/>
        </w:numPr>
        <w:spacing w:line="480" w:lineRule="auto"/>
        <w:rPr>
          <w:rFonts w:ascii="Arial" w:hAnsi="Arial" w:cs="Arial"/>
        </w:rPr>
      </w:pPr>
      <w:r w:rsidRPr="001B62F2">
        <w:rPr>
          <w:rFonts w:ascii="Arial" w:hAnsi="Arial" w:cs="Arial"/>
        </w:rPr>
        <w:t>The auditor’s assessment of audit risk</w:t>
      </w:r>
    </w:p>
    <w:p w14:paraId="4DD667F2" w14:textId="390C6A4C" w:rsidR="00203EBF" w:rsidRPr="001B62F2" w:rsidRDefault="00203EBF" w:rsidP="001B62F2">
      <w:pPr>
        <w:pStyle w:val="ListParagraph"/>
        <w:numPr>
          <w:ilvl w:val="0"/>
          <w:numId w:val="3"/>
        </w:numPr>
        <w:spacing w:line="480" w:lineRule="auto"/>
        <w:rPr>
          <w:rFonts w:ascii="Arial" w:hAnsi="Arial" w:cs="Arial"/>
        </w:rPr>
      </w:pPr>
      <w:r w:rsidRPr="001B62F2">
        <w:rPr>
          <w:rFonts w:ascii="Arial" w:hAnsi="Arial" w:cs="Arial"/>
        </w:rPr>
        <w:t>The proportion of evidence outside the auditor’s environment</w:t>
      </w:r>
    </w:p>
    <w:p w14:paraId="6A4891FB" w14:textId="77777777" w:rsidR="00F1102B" w:rsidRPr="001B62F2" w:rsidRDefault="00F1102B" w:rsidP="001B62F2">
      <w:pPr>
        <w:spacing w:line="480" w:lineRule="auto"/>
        <w:rPr>
          <w:rFonts w:ascii="Arial" w:hAnsi="Arial" w:cs="Arial"/>
          <w:b/>
        </w:rPr>
      </w:pPr>
      <w:r w:rsidRPr="001B62F2">
        <w:rPr>
          <w:rFonts w:ascii="Arial" w:hAnsi="Arial" w:cs="Arial"/>
          <w:b/>
        </w:rPr>
        <w:t>Responsibility for IT</w:t>
      </w:r>
    </w:p>
    <w:p w14:paraId="27AA5255" w14:textId="77EDC809" w:rsidR="00516F06" w:rsidRPr="001B62F2" w:rsidRDefault="00DA3081" w:rsidP="001B62F2">
      <w:pPr>
        <w:spacing w:line="480" w:lineRule="auto"/>
        <w:ind w:firstLine="720"/>
        <w:rPr>
          <w:rFonts w:ascii="Arial" w:hAnsi="Arial" w:cs="Arial"/>
        </w:rPr>
      </w:pPr>
      <w:r w:rsidRPr="001B62F2">
        <w:rPr>
          <w:rFonts w:ascii="Arial" w:hAnsi="Arial" w:cs="Arial"/>
        </w:rPr>
        <w:t>Responsibility for IT risk coverage in the IT industry is an umbrella</w:t>
      </w:r>
      <w:r w:rsidR="00575D9D" w:rsidRPr="001B62F2">
        <w:rPr>
          <w:rFonts w:ascii="Arial" w:hAnsi="Arial" w:cs="Arial"/>
        </w:rPr>
        <w:t xml:space="preserve"> </w:t>
      </w:r>
      <w:r w:rsidRPr="001B62F2">
        <w:rPr>
          <w:rFonts w:ascii="Arial" w:hAnsi="Arial" w:cs="Arial"/>
        </w:rPr>
        <w:t xml:space="preserve">liability policy that has been designed to protect </w:t>
      </w:r>
      <w:r w:rsidR="00575D9D" w:rsidRPr="001B62F2">
        <w:rPr>
          <w:rFonts w:ascii="Arial" w:hAnsi="Arial" w:cs="Arial"/>
        </w:rPr>
        <w:t>against computer, software, databases and internet usage losses</w:t>
      </w:r>
      <w:r w:rsidR="00CB6FD2" w:rsidRPr="001B62F2">
        <w:rPr>
          <w:rFonts w:ascii="Arial" w:hAnsi="Arial" w:cs="Arial"/>
        </w:rPr>
        <w:t xml:space="preserve"> resulting from cyber attacks, theft and malicious software amongst others</w:t>
      </w:r>
      <w:r w:rsidR="00644CA5" w:rsidRPr="001B62F2">
        <w:rPr>
          <w:rFonts w:ascii="Arial" w:hAnsi="Arial" w:cs="Arial"/>
        </w:rPr>
        <w:t xml:space="preserve"> (Senft, 2016)</w:t>
      </w:r>
      <w:r w:rsidR="00575D9D" w:rsidRPr="001B62F2">
        <w:rPr>
          <w:rFonts w:ascii="Arial" w:hAnsi="Arial" w:cs="Arial"/>
        </w:rPr>
        <w:t>.</w:t>
      </w:r>
      <w:r w:rsidR="00CB6FD2" w:rsidRPr="001B62F2">
        <w:rPr>
          <w:rFonts w:ascii="Arial" w:hAnsi="Arial" w:cs="Arial"/>
        </w:rPr>
        <w:t xml:space="preserve"> The definition does not address the risks to data security faced by companies as a result of accessing social media platforms using work computers and networks. </w:t>
      </w:r>
      <w:r w:rsidR="00516F06" w:rsidRPr="001B62F2">
        <w:rPr>
          <w:rFonts w:ascii="Arial" w:hAnsi="Arial" w:cs="Arial"/>
        </w:rPr>
        <w:t>Following the Facebook data scandal</w:t>
      </w:r>
      <w:r w:rsidR="00006287" w:rsidRPr="001B62F2">
        <w:rPr>
          <w:rFonts w:ascii="Arial" w:hAnsi="Arial" w:cs="Arial"/>
        </w:rPr>
        <w:t>s</w:t>
      </w:r>
      <w:r w:rsidR="00516F06" w:rsidRPr="001B62F2">
        <w:rPr>
          <w:rFonts w:ascii="Arial" w:hAnsi="Arial" w:cs="Arial"/>
        </w:rPr>
        <w:t xml:space="preserve"> where the social media giant shared client information with third parties</w:t>
      </w:r>
      <w:r w:rsidR="00006287" w:rsidRPr="001B62F2">
        <w:rPr>
          <w:rFonts w:ascii="Arial" w:hAnsi="Arial" w:cs="Arial"/>
        </w:rPr>
        <w:t xml:space="preserve"> and unauthorized persons were able to access user data</w:t>
      </w:r>
      <w:r w:rsidR="00516F06" w:rsidRPr="001B62F2">
        <w:rPr>
          <w:rFonts w:ascii="Arial" w:hAnsi="Arial" w:cs="Arial"/>
        </w:rPr>
        <w:t>, there is evidently a gap in the definition for responsibility for IT risk coverage</w:t>
      </w:r>
      <w:r w:rsidR="00006287" w:rsidRPr="001B62F2">
        <w:rPr>
          <w:rFonts w:ascii="Arial" w:hAnsi="Arial" w:cs="Arial"/>
        </w:rPr>
        <w:t xml:space="preserve"> to address breaches from accessing social media sites using company IT infrastructure.</w:t>
      </w:r>
    </w:p>
    <w:p w14:paraId="30A639BF" w14:textId="35AF2452" w:rsidR="00F1102B" w:rsidRPr="001B62F2" w:rsidRDefault="00F1102B" w:rsidP="001B62F2">
      <w:pPr>
        <w:spacing w:line="480" w:lineRule="auto"/>
        <w:rPr>
          <w:rFonts w:ascii="Arial" w:hAnsi="Arial" w:cs="Arial"/>
          <w:b/>
        </w:rPr>
      </w:pPr>
      <w:r w:rsidRPr="001B62F2">
        <w:rPr>
          <w:rFonts w:ascii="Arial" w:hAnsi="Arial" w:cs="Arial"/>
          <w:b/>
        </w:rPr>
        <w:t>Internal controls</w:t>
      </w:r>
      <w:r w:rsidR="004E4E33" w:rsidRPr="001B62F2">
        <w:rPr>
          <w:rFonts w:ascii="Arial" w:hAnsi="Arial" w:cs="Arial"/>
          <w:b/>
        </w:rPr>
        <w:t xml:space="preserve"> for the</w:t>
      </w:r>
      <w:r w:rsidRPr="001B62F2">
        <w:rPr>
          <w:rFonts w:ascii="Arial" w:hAnsi="Arial" w:cs="Arial"/>
          <w:b/>
        </w:rPr>
        <w:t xml:space="preserve"> protection of computer data </w:t>
      </w:r>
    </w:p>
    <w:p w14:paraId="6483B26F" w14:textId="3E35EEE6" w:rsidR="009902A6" w:rsidRPr="001B62F2" w:rsidRDefault="00EF00ED" w:rsidP="001B62F2">
      <w:pPr>
        <w:spacing w:line="480" w:lineRule="auto"/>
        <w:ind w:firstLine="720"/>
        <w:rPr>
          <w:rFonts w:ascii="Arial" w:hAnsi="Arial" w:cs="Arial"/>
        </w:rPr>
      </w:pPr>
      <w:r w:rsidRPr="001B62F2">
        <w:rPr>
          <w:rFonts w:ascii="Arial" w:hAnsi="Arial" w:cs="Arial"/>
        </w:rPr>
        <w:t>Most of the internal control activities put into place to protect computer information and data fall</w:t>
      </w:r>
      <w:r w:rsidR="006C6593" w:rsidRPr="001B62F2">
        <w:rPr>
          <w:rFonts w:ascii="Arial" w:hAnsi="Arial" w:cs="Arial"/>
        </w:rPr>
        <w:t xml:space="preserve"> under the purview of physical </w:t>
      </w:r>
      <w:r w:rsidR="00D44F9E">
        <w:rPr>
          <w:rFonts w:ascii="Arial" w:hAnsi="Arial" w:cs="Arial"/>
        </w:rPr>
        <w:t>c</w:t>
      </w:r>
      <w:r w:rsidRPr="001B62F2">
        <w:rPr>
          <w:rFonts w:ascii="Arial" w:hAnsi="Arial" w:cs="Arial"/>
        </w:rPr>
        <w:t>ontrols. Physical controls include passwor</w:t>
      </w:r>
      <w:r w:rsidR="000028AF" w:rsidRPr="001B62F2">
        <w:rPr>
          <w:rFonts w:ascii="Arial" w:hAnsi="Arial" w:cs="Arial"/>
        </w:rPr>
        <w:t>d protection, authentication using biometric data and key card access</w:t>
      </w:r>
      <w:r w:rsidRPr="001B62F2">
        <w:rPr>
          <w:rFonts w:ascii="Arial" w:hAnsi="Arial" w:cs="Arial"/>
        </w:rPr>
        <w:t xml:space="preserve">. It is difficult to uphold these controls in IT companies </w:t>
      </w:r>
      <w:r w:rsidR="000028AF" w:rsidRPr="001B62F2">
        <w:rPr>
          <w:rFonts w:ascii="Arial" w:hAnsi="Arial" w:cs="Arial"/>
        </w:rPr>
        <w:t xml:space="preserve">given that data is a core component on operations requiring software developers to access the data available. Employees also possess the skills to bypass physical controls and alter data. The use of detective controls such as </w:t>
      </w:r>
      <w:r w:rsidRPr="001B62F2">
        <w:rPr>
          <w:rFonts w:ascii="Arial" w:hAnsi="Arial" w:cs="Arial"/>
        </w:rPr>
        <w:t>information processing controls</w:t>
      </w:r>
      <w:r w:rsidR="000028AF" w:rsidRPr="001B62F2">
        <w:rPr>
          <w:rFonts w:ascii="Arial" w:hAnsi="Arial" w:cs="Arial"/>
        </w:rPr>
        <w:t xml:space="preserve"> alongside preventative controls can mitigate this problem. </w:t>
      </w:r>
    </w:p>
    <w:p w14:paraId="2659F7C9" w14:textId="64DEA638" w:rsidR="009902A6" w:rsidRPr="001B62F2" w:rsidRDefault="000028AF" w:rsidP="001B62F2">
      <w:pPr>
        <w:spacing w:line="480" w:lineRule="auto"/>
        <w:rPr>
          <w:rFonts w:ascii="Arial" w:hAnsi="Arial" w:cs="Arial"/>
          <w:b/>
        </w:rPr>
      </w:pPr>
      <w:r w:rsidRPr="001B62F2">
        <w:rPr>
          <w:rFonts w:ascii="Arial" w:hAnsi="Arial" w:cs="Arial"/>
          <w:b/>
        </w:rPr>
        <w:t>Current and future vulnerabilities</w:t>
      </w:r>
    </w:p>
    <w:p w14:paraId="24D1FCDB" w14:textId="03503F2D" w:rsidR="00994720" w:rsidRPr="001B62F2" w:rsidRDefault="000028AF" w:rsidP="001B62F2">
      <w:pPr>
        <w:spacing w:line="480" w:lineRule="auto"/>
        <w:ind w:firstLine="720"/>
        <w:rPr>
          <w:rFonts w:ascii="Arial" w:hAnsi="Arial" w:cs="Arial"/>
        </w:rPr>
      </w:pPr>
      <w:r w:rsidRPr="001B62F2">
        <w:rPr>
          <w:rFonts w:ascii="Arial" w:hAnsi="Arial" w:cs="Arial"/>
        </w:rPr>
        <w:t>Vulnerabilities in IT e</w:t>
      </w:r>
      <w:r w:rsidR="00994720" w:rsidRPr="001B62F2">
        <w:rPr>
          <w:rFonts w:ascii="Arial" w:hAnsi="Arial" w:cs="Arial"/>
        </w:rPr>
        <w:t xml:space="preserve">xist in the area of data and information </w:t>
      </w:r>
      <w:r w:rsidRPr="001B62F2">
        <w:rPr>
          <w:rFonts w:ascii="Arial" w:hAnsi="Arial" w:cs="Arial"/>
        </w:rPr>
        <w:t xml:space="preserve">security. </w:t>
      </w:r>
      <w:r w:rsidR="00994720" w:rsidRPr="001B62F2">
        <w:rPr>
          <w:rFonts w:ascii="Arial" w:hAnsi="Arial" w:cs="Arial"/>
        </w:rPr>
        <w:t xml:space="preserve"> The expansion of information storage from systems connected via networks to cloud storage and processing places IT companies at risk of cyber security breaches. Companies should regularly evaluate their information security processes and controls to prevent and detect breaches to data security. There is need for extensive Data Loss Prevention (DLPs) guidelines</w:t>
      </w:r>
      <w:r w:rsidR="009472AC" w:rsidRPr="001B62F2">
        <w:rPr>
          <w:rFonts w:ascii="Arial" w:hAnsi="Arial" w:cs="Arial"/>
        </w:rPr>
        <w:t xml:space="preserve"> (KPMG, 2017)</w:t>
      </w:r>
      <w:r w:rsidR="00994720" w:rsidRPr="001B62F2">
        <w:rPr>
          <w:rFonts w:ascii="Arial" w:hAnsi="Arial" w:cs="Arial"/>
        </w:rPr>
        <w:t>. The use of Identity Access Management systems also allows management to detect threats to the information system from evolution of the cybersecurity environment</w:t>
      </w:r>
      <w:r w:rsidR="003506F0" w:rsidRPr="001B62F2">
        <w:rPr>
          <w:rFonts w:ascii="Arial" w:hAnsi="Arial" w:cs="Arial"/>
        </w:rPr>
        <w:t xml:space="preserve"> (KPMG,</w:t>
      </w:r>
      <w:r w:rsidR="001F338E" w:rsidRPr="001B62F2">
        <w:rPr>
          <w:rFonts w:ascii="Arial" w:hAnsi="Arial" w:cs="Arial"/>
        </w:rPr>
        <w:t xml:space="preserve"> 2017)</w:t>
      </w:r>
      <w:r w:rsidR="00994720" w:rsidRPr="001B62F2">
        <w:rPr>
          <w:rFonts w:ascii="Arial" w:hAnsi="Arial" w:cs="Arial"/>
        </w:rPr>
        <w:t xml:space="preserve">. </w:t>
      </w:r>
    </w:p>
    <w:p w14:paraId="5101AD9B" w14:textId="77777777" w:rsidR="00F1102B" w:rsidRPr="001B62F2" w:rsidRDefault="00F1102B" w:rsidP="001B62F2">
      <w:pPr>
        <w:spacing w:line="480" w:lineRule="auto"/>
        <w:rPr>
          <w:rFonts w:ascii="Arial" w:hAnsi="Arial" w:cs="Arial"/>
        </w:rPr>
      </w:pPr>
    </w:p>
    <w:p w14:paraId="41CBE026" w14:textId="77777777" w:rsidR="001B62F2" w:rsidRDefault="001B62F2">
      <w:pPr>
        <w:rPr>
          <w:rFonts w:ascii="Arial" w:hAnsi="Arial" w:cs="Arial"/>
        </w:rPr>
      </w:pPr>
      <w:r>
        <w:rPr>
          <w:rFonts w:ascii="Arial" w:hAnsi="Arial" w:cs="Arial"/>
        </w:rPr>
        <w:br w:type="page"/>
      </w:r>
    </w:p>
    <w:p w14:paraId="772AF88B" w14:textId="718977F5" w:rsidR="00F618F0" w:rsidRPr="001B62F2" w:rsidRDefault="000A78B5" w:rsidP="00551AD9">
      <w:pPr>
        <w:spacing w:line="480" w:lineRule="auto"/>
        <w:jc w:val="center"/>
        <w:rPr>
          <w:rFonts w:ascii="Arial" w:hAnsi="Arial" w:cs="Arial"/>
        </w:rPr>
      </w:pPr>
      <w:r w:rsidRPr="001B62F2">
        <w:rPr>
          <w:rFonts w:ascii="Arial" w:hAnsi="Arial" w:cs="Arial"/>
        </w:rPr>
        <w:t>References</w:t>
      </w:r>
    </w:p>
    <w:p w14:paraId="0BFBAD13" w14:textId="77777777" w:rsidR="00D44F9E" w:rsidRDefault="00D44F9E" w:rsidP="001B62F2">
      <w:pPr>
        <w:spacing w:line="480" w:lineRule="auto"/>
        <w:rPr>
          <w:rFonts w:ascii="Arial" w:hAnsi="Arial" w:cs="Arial"/>
        </w:rPr>
      </w:pPr>
      <w:r>
        <w:rPr>
          <w:rFonts w:ascii="Arial" w:hAnsi="Arial" w:cs="Arial"/>
        </w:rPr>
        <w:t xml:space="preserve">Cascade Asset Management (n.d.). </w:t>
      </w:r>
      <w:r w:rsidRPr="00D44F9E">
        <w:rPr>
          <w:rFonts w:ascii="Arial" w:hAnsi="Arial" w:cs="Arial"/>
          <w:i/>
        </w:rPr>
        <w:t>Related environmental regulations</w:t>
      </w:r>
      <w:r>
        <w:rPr>
          <w:rFonts w:ascii="Arial" w:hAnsi="Arial" w:cs="Arial"/>
        </w:rPr>
        <w:t xml:space="preserve">. Retrieved from: </w:t>
      </w:r>
    </w:p>
    <w:p w14:paraId="2F57755F" w14:textId="512B714A" w:rsidR="000A78B5" w:rsidRPr="001B62F2" w:rsidRDefault="000A78B5" w:rsidP="00D44F9E">
      <w:pPr>
        <w:spacing w:line="480" w:lineRule="auto"/>
        <w:ind w:left="720"/>
        <w:rPr>
          <w:rFonts w:ascii="Arial" w:hAnsi="Arial" w:cs="Arial"/>
        </w:rPr>
      </w:pPr>
      <w:r w:rsidRPr="001B62F2">
        <w:rPr>
          <w:rFonts w:ascii="Arial" w:hAnsi="Arial" w:cs="Arial"/>
        </w:rPr>
        <w:t>https://cascade-assets.com/resources/environmental.html</w:t>
      </w:r>
    </w:p>
    <w:p w14:paraId="27FCDAE5" w14:textId="77777777" w:rsidR="00934C8F" w:rsidRDefault="001B62F2" w:rsidP="001B62F2">
      <w:pPr>
        <w:spacing w:line="480" w:lineRule="auto"/>
        <w:rPr>
          <w:rFonts w:ascii="Arial" w:hAnsi="Arial" w:cs="Arial"/>
        </w:rPr>
      </w:pPr>
      <w:r w:rsidRPr="001B62F2">
        <w:rPr>
          <w:rFonts w:ascii="Arial" w:hAnsi="Arial" w:cs="Arial"/>
        </w:rPr>
        <w:t xml:space="preserve">E&amp;Y (2013). </w:t>
      </w:r>
      <w:r w:rsidRPr="00934C8F">
        <w:rPr>
          <w:rFonts w:ascii="Arial" w:hAnsi="Arial" w:cs="Arial"/>
          <w:i/>
        </w:rPr>
        <w:t>Ten key IT considerations for internal audit</w:t>
      </w:r>
      <w:r w:rsidRPr="001B62F2">
        <w:rPr>
          <w:rFonts w:ascii="Arial" w:hAnsi="Arial" w:cs="Arial"/>
        </w:rPr>
        <w:t xml:space="preserve">. Retrieved from </w:t>
      </w:r>
    </w:p>
    <w:p w14:paraId="4F59F9F0" w14:textId="2A665205" w:rsidR="001B62F2" w:rsidRPr="001B62F2" w:rsidRDefault="00934C8F" w:rsidP="00934C8F">
      <w:pPr>
        <w:spacing w:line="480" w:lineRule="auto"/>
        <w:ind w:left="720"/>
        <w:rPr>
          <w:rFonts w:ascii="Arial" w:hAnsi="Arial" w:cs="Arial"/>
        </w:rPr>
      </w:pPr>
      <w:r w:rsidRPr="00934C8F">
        <w:rPr>
          <w:rFonts w:ascii="Arial" w:hAnsi="Arial" w:cs="Arial"/>
        </w:rPr>
        <w:t>https://www.ey.com/Publication/vwLUAssets/Ten_key_IT_considerations_for_internal_audit/%24FILE/Ten_key_IT_considerations_for_internal_audit.pdf</w:t>
      </w:r>
    </w:p>
    <w:p w14:paraId="53C6B18D" w14:textId="77777777" w:rsidR="001B62F2" w:rsidRDefault="001B62F2" w:rsidP="001B62F2">
      <w:pPr>
        <w:spacing w:line="480" w:lineRule="auto"/>
        <w:rPr>
          <w:rFonts w:ascii="Arial" w:hAnsi="Arial" w:cs="Arial"/>
        </w:rPr>
      </w:pPr>
      <w:r w:rsidRPr="001B62F2">
        <w:rPr>
          <w:rFonts w:ascii="Arial" w:hAnsi="Arial" w:cs="Arial"/>
        </w:rPr>
        <w:t xml:space="preserve">Griffin, M. (2015). </w:t>
      </w:r>
      <w:r w:rsidRPr="001B62F2">
        <w:rPr>
          <w:rFonts w:ascii="Arial" w:hAnsi="Arial" w:cs="Arial"/>
          <w:i/>
        </w:rPr>
        <w:t>How Apple's outsourcing strategy created two giant competitors</w:t>
      </w:r>
      <w:r w:rsidRPr="001B62F2">
        <w:rPr>
          <w:rFonts w:ascii="Arial" w:hAnsi="Arial" w:cs="Arial"/>
        </w:rPr>
        <w:t xml:space="preserve">. </w:t>
      </w:r>
    </w:p>
    <w:p w14:paraId="49D64CC5" w14:textId="08963F86" w:rsidR="001B62F2" w:rsidRPr="001B62F2" w:rsidRDefault="001B62F2" w:rsidP="001B62F2">
      <w:pPr>
        <w:spacing w:line="480" w:lineRule="auto"/>
        <w:ind w:left="720"/>
        <w:rPr>
          <w:rFonts w:ascii="Arial" w:hAnsi="Arial" w:cs="Arial"/>
        </w:rPr>
      </w:pPr>
      <w:r w:rsidRPr="001B62F2">
        <w:rPr>
          <w:rFonts w:ascii="Arial" w:hAnsi="Arial" w:cs="Arial"/>
        </w:rPr>
        <w:t>Retrieved from https://www.cio.com/article/2926435/innovation/how-apples-outsourcing-strategy-created-two-giant-competitors.html</w:t>
      </w:r>
    </w:p>
    <w:p w14:paraId="070FAE3B" w14:textId="77777777" w:rsidR="001B62F2" w:rsidRDefault="001B62F2" w:rsidP="001B62F2">
      <w:pPr>
        <w:spacing w:line="480" w:lineRule="auto"/>
        <w:rPr>
          <w:rFonts w:ascii="Arial" w:eastAsia="Times New Roman" w:hAnsi="Arial" w:cs="Arial"/>
          <w:i/>
          <w:iCs/>
        </w:rPr>
      </w:pPr>
      <w:r w:rsidRPr="001B62F2">
        <w:rPr>
          <w:rFonts w:ascii="Arial" w:eastAsia="Times New Roman" w:hAnsi="Arial" w:cs="Arial"/>
        </w:rPr>
        <w:t xml:space="preserve">Hayes, R. S., Gortemaker, H., &amp; Wallage, P. (2014). </w:t>
      </w:r>
      <w:r w:rsidRPr="001B62F2">
        <w:rPr>
          <w:rFonts w:ascii="Arial" w:eastAsia="Times New Roman" w:hAnsi="Arial" w:cs="Arial"/>
          <w:i/>
          <w:iCs/>
        </w:rPr>
        <w:t xml:space="preserve">Principles of auditing: An </w:t>
      </w:r>
    </w:p>
    <w:p w14:paraId="3D4C0093" w14:textId="7F9BC9E6" w:rsidR="001B62F2" w:rsidRPr="001B62F2" w:rsidRDefault="001B62F2" w:rsidP="001B62F2">
      <w:pPr>
        <w:spacing w:line="480" w:lineRule="auto"/>
        <w:ind w:left="720"/>
        <w:rPr>
          <w:rFonts w:ascii="Arial" w:eastAsia="Times New Roman" w:hAnsi="Arial" w:cs="Arial"/>
        </w:rPr>
      </w:pPr>
      <w:r w:rsidRPr="001B62F2">
        <w:rPr>
          <w:rFonts w:ascii="Arial" w:eastAsia="Times New Roman" w:hAnsi="Arial" w:cs="Arial"/>
          <w:i/>
          <w:iCs/>
        </w:rPr>
        <w:t>introduction to international standards on auditing</w:t>
      </w:r>
      <w:r w:rsidRPr="001B62F2">
        <w:rPr>
          <w:rFonts w:ascii="Arial" w:eastAsia="Times New Roman" w:hAnsi="Arial" w:cs="Arial"/>
        </w:rPr>
        <w:t>. Harlow: Financial Times Prentice Hall.</w:t>
      </w:r>
    </w:p>
    <w:p w14:paraId="06EAE735" w14:textId="77777777" w:rsidR="001B62F2" w:rsidRDefault="001B62F2" w:rsidP="001B62F2">
      <w:pPr>
        <w:spacing w:line="480" w:lineRule="auto"/>
        <w:rPr>
          <w:rFonts w:ascii="Arial" w:eastAsia="Times New Roman" w:hAnsi="Arial" w:cs="Arial"/>
          <w:i/>
        </w:rPr>
      </w:pPr>
      <w:r w:rsidRPr="001B62F2">
        <w:rPr>
          <w:rFonts w:ascii="Arial" w:eastAsia="Times New Roman" w:hAnsi="Arial" w:cs="Arial"/>
        </w:rPr>
        <w:t>Johnstone</w:t>
      </w:r>
      <w:r>
        <w:rPr>
          <w:rFonts w:ascii="Arial" w:eastAsia="Times New Roman" w:hAnsi="Arial" w:cs="Arial"/>
        </w:rPr>
        <w:t>, K., Gramling, A., &amp; Rittenberg, L.</w:t>
      </w:r>
      <w:r w:rsidRPr="001B62F2">
        <w:rPr>
          <w:rFonts w:ascii="Arial" w:eastAsia="Times New Roman" w:hAnsi="Arial" w:cs="Arial"/>
        </w:rPr>
        <w:t xml:space="preserve"> (2013</w:t>
      </w:r>
      <w:r w:rsidRPr="001B62F2">
        <w:rPr>
          <w:rFonts w:ascii="Arial" w:eastAsia="Times New Roman" w:hAnsi="Arial" w:cs="Arial"/>
          <w:i/>
        </w:rPr>
        <w:t>). Auditing: A risk based approach to</w:t>
      </w:r>
    </w:p>
    <w:p w14:paraId="27BEED88" w14:textId="7CB497D2" w:rsidR="001B62F2" w:rsidRPr="001B62F2" w:rsidRDefault="001B62F2" w:rsidP="001B62F2">
      <w:pPr>
        <w:spacing w:line="480" w:lineRule="auto"/>
        <w:ind w:left="720"/>
        <w:rPr>
          <w:rFonts w:ascii="Arial" w:eastAsia="Times New Roman" w:hAnsi="Arial" w:cs="Arial"/>
        </w:rPr>
      </w:pPr>
      <w:r w:rsidRPr="001B62F2">
        <w:rPr>
          <w:rFonts w:ascii="Arial" w:eastAsia="Times New Roman" w:hAnsi="Arial" w:cs="Arial"/>
          <w:i/>
        </w:rPr>
        <w:t xml:space="preserve"> conducting a quality audit</w:t>
      </w:r>
      <w:r>
        <w:rPr>
          <w:rFonts w:ascii="Arial" w:eastAsia="Times New Roman" w:hAnsi="Arial" w:cs="Arial"/>
        </w:rPr>
        <w:t>. South Western: Cengage Learning</w:t>
      </w:r>
    </w:p>
    <w:p w14:paraId="7B2C6A08" w14:textId="77777777" w:rsidR="00934C8F" w:rsidRDefault="001B62F2" w:rsidP="001B62F2">
      <w:pPr>
        <w:spacing w:line="480" w:lineRule="auto"/>
        <w:rPr>
          <w:rFonts w:ascii="Arial" w:eastAsia="Times New Roman" w:hAnsi="Arial" w:cs="Arial"/>
        </w:rPr>
      </w:pPr>
      <w:r w:rsidRPr="001B62F2">
        <w:rPr>
          <w:rFonts w:ascii="Arial" w:eastAsia="Times New Roman" w:hAnsi="Arial" w:cs="Arial"/>
        </w:rPr>
        <w:t>KPMG (2017)</w:t>
      </w:r>
      <w:r w:rsidR="00D44F9E">
        <w:rPr>
          <w:rFonts w:ascii="Arial" w:eastAsia="Times New Roman" w:hAnsi="Arial" w:cs="Arial"/>
        </w:rPr>
        <w:t xml:space="preserve">. </w:t>
      </w:r>
      <w:r w:rsidR="00D44F9E" w:rsidRPr="00D44F9E">
        <w:rPr>
          <w:rFonts w:ascii="Arial" w:eastAsia="Times New Roman" w:hAnsi="Arial" w:cs="Arial"/>
          <w:i/>
        </w:rPr>
        <w:t>Top 10 internal audit focus areas for technology companies</w:t>
      </w:r>
      <w:r w:rsidR="00D44F9E">
        <w:rPr>
          <w:rFonts w:ascii="Arial" w:eastAsia="Times New Roman" w:hAnsi="Arial" w:cs="Arial"/>
        </w:rPr>
        <w:t xml:space="preserve">. Retrieved </w:t>
      </w:r>
    </w:p>
    <w:p w14:paraId="62AB43FC" w14:textId="71ECB136" w:rsidR="001B62F2" w:rsidRPr="001B62F2" w:rsidRDefault="00D44F9E" w:rsidP="00934C8F">
      <w:pPr>
        <w:spacing w:line="480" w:lineRule="auto"/>
        <w:ind w:left="720"/>
        <w:rPr>
          <w:rFonts w:ascii="Arial" w:eastAsia="Times New Roman" w:hAnsi="Arial" w:cs="Arial"/>
        </w:rPr>
      </w:pPr>
      <w:r>
        <w:rPr>
          <w:rFonts w:ascii="Arial" w:eastAsia="Times New Roman" w:hAnsi="Arial" w:cs="Arial"/>
        </w:rPr>
        <w:t>from</w:t>
      </w:r>
      <w:r w:rsidR="00934C8F">
        <w:rPr>
          <w:rFonts w:ascii="Arial" w:eastAsia="Times New Roman" w:hAnsi="Arial" w:cs="Arial"/>
        </w:rPr>
        <w:t xml:space="preserve">: </w:t>
      </w:r>
      <w:r w:rsidR="00934C8F" w:rsidRPr="00934C8F">
        <w:rPr>
          <w:rFonts w:ascii="Arial" w:eastAsia="Times New Roman" w:hAnsi="Arial" w:cs="Arial"/>
        </w:rPr>
        <w:t>https://assets.kpmg/content/dam/kpmg/is/pdf/2018/07/kpmg-top-10-internal-audit-tech-2017.pdf</w:t>
      </w:r>
      <w:r>
        <w:rPr>
          <w:rFonts w:ascii="Arial" w:eastAsia="Times New Roman" w:hAnsi="Arial" w:cs="Arial"/>
        </w:rPr>
        <w:t xml:space="preserve"> </w:t>
      </w:r>
    </w:p>
    <w:p w14:paraId="1BADCB99" w14:textId="77777777" w:rsidR="00551AD9" w:rsidRDefault="00551AD9" w:rsidP="001B62F2">
      <w:pPr>
        <w:spacing w:line="480" w:lineRule="auto"/>
        <w:rPr>
          <w:rFonts w:ascii="Arial" w:hAnsi="Arial" w:cs="Arial"/>
        </w:rPr>
      </w:pPr>
      <w:r>
        <w:rPr>
          <w:rFonts w:ascii="Arial" w:hAnsi="Arial" w:cs="Arial"/>
        </w:rPr>
        <w:t xml:space="preserve">Ross, S., </w:t>
      </w:r>
      <w:r w:rsidR="001B62F2" w:rsidRPr="001B62F2">
        <w:rPr>
          <w:rFonts w:ascii="Arial" w:hAnsi="Arial" w:cs="Arial"/>
        </w:rPr>
        <w:t xml:space="preserve">Westerfield, R., &amp; Jaffe, J. (2016). </w:t>
      </w:r>
      <w:r w:rsidR="001B62F2" w:rsidRPr="00551AD9">
        <w:rPr>
          <w:rFonts w:ascii="Arial" w:hAnsi="Arial" w:cs="Arial"/>
          <w:i/>
        </w:rPr>
        <w:t>Corporate finance</w:t>
      </w:r>
      <w:r w:rsidR="001B62F2" w:rsidRPr="001B62F2">
        <w:rPr>
          <w:rFonts w:ascii="Arial" w:hAnsi="Arial" w:cs="Arial"/>
        </w:rPr>
        <w:t xml:space="preserve">. New </w:t>
      </w:r>
      <w:r>
        <w:rPr>
          <w:rFonts w:ascii="Arial" w:hAnsi="Arial" w:cs="Arial"/>
        </w:rPr>
        <w:t>York: McGraw Hill-</w:t>
      </w:r>
    </w:p>
    <w:p w14:paraId="67DD7310" w14:textId="75686753" w:rsidR="001B62F2" w:rsidRPr="001B62F2" w:rsidRDefault="001B62F2" w:rsidP="00551AD9">
      <w:pPr>
        <w:spacing w:line="480" w:lineRule="auto"/>
        <w:ind w:left="720"/>
        <w:rPr>
          <w:rFonts w:ascii="Arial" w:hAnsi="Arial" w:cs="Arial"/>
        </w:rPr>
      </w:pPr>
      <w:r w:rsidRPr="001B62F2">
        <w:rPr>
          <w:rFonts w:ascii="Arial" w:hAnsi="Arial" w:cs="Arial"/>
        </w:rPr>
        <w:t>Irwin </w:t>
      </w:r>
    </w:p>
    <w:p w14:paraId="0BF72204" w14:textId="77777777" w:rsidR="00553CB3" w:rsidRDefault="001B62F2" w:rsidP="001B62F2">
      <w:pPr>
        <w:spacing w:line="480" w:lineRule="auto"/>
        <w:rPr>
          <w:rFonts w:ascii="Arial" w:hAnsi="Arial" w:cs="Arial"/>
        </w:rPr>
      </w:pPr>
      <w:r w:rsidRPr="001B62F2">
        <w:rPr>
          <w:rFonts w:ascii="Arial" w:hAnsi="Arial" w:cs="Arial"/>
        </w:rPr>
        <w:t>Senft</w:t>
      </w:r>
      <w:r w:rsidR="002649D8">
        <w:rPr>
          <w:rFonts w:ascii="Arial" w:hAnsi="Arial" w:cs="Arial"/>
        </w:rPr>
        <w:t>, S., &amp; Gallegos, F.</w:t>
      </w:r>
      <w:r w:rsidRPr="001B62F2">
        <w:rPr>
          <w:rFonts w:ascii="Arial" w:hAnsi="Arial" w:cs="Arial"/>
        </w:rPr>
        <w:t xml:space="preserve"> </w:t>
      </w:r>
      <w:r w:rsidR="002649D8">
        <w:rPr>
          <w:rFonts w:ascii="Arial" w:hAnsi="Arial" w:cs="Arial"/>
        </w:rPr>
        <w:t>(</w:t>
      </w:r>
      <w:r w:rsidRPr="001B62F2">
        <w:rPr>
          <w:rFonts w:ascii="Arial" w:hAnsi="Arial" w:cs="Arial"/>
        </w:rPr>
        <w:t>2016</w:t>
      </w:r>
      <w:r w:rsidR="002649D8">
        <w:rPr>
          <w:rFonts w:ascii="Arial" w:hAnsi="Arial" w:cs="Arial"/>
        </w:rPr>
        <w:t xml:space="preserve">). </w:t>
      </w:r>
      <w:r w:rsidR="00553CB3" w:rsidRPr="006A470D">
        <w:rPr>
          <w:rFonts w:ascii="Arial" w:hAnsi="Arial" w:cs="Arial"/>
          <w:i/>
        </w:rPr>
        <w:t>Information technology control and audit</w:t>
      </w:r>
      <w:r w:rsidR="00553CB3">
        <w:rPr>
          <w:rFonts w:ascii="Arial" w:hAnsi="Arial" w:cs="Arial"/>
        </w:rPr>
        <w:t xml:space="preserve">. New York: </w:t>
      </w:r>
    </w:p>
    <w:p w14:paraId="35941CD5" w14:textId="22E0BB9C" w:rsidR="001B62F2" w:rsidRPr="001B62F2" w:rsidRDefault="00553CB3" w:rsidP="00553CB3">
      <w:pPr>
        <w:spacing w:line="480" w:lineRule="auto"/>
        <w:ind w:left="720"/>
        <w:rPr>
          <w:rFonts w:ascii="Arial" w:hAnsi="Arial" w:cs="Arial"/>
        </w:rPr>
      </w:pPr>
      <w:r>
        <w:rPr>
          <w:rFonts w:ascii="Arial" w:hAnsi="Arial" w:cs="Arial"/>
        </w:rPr>
        <w:t>Auerbach Publications</w:t>
      </w:r>
    </w:p>
    <w:p w14:paraId="0008BC11" w14:textId="77777777" w:rsidR="000A78B5" w:rsidRPr="001B62F2" w:rsidRDefault="000A78B5" w:rsidP="001B62F2">
      <w:pPr>
        <w:spacing w:line="480" w:lineRule="auto"/>
        <w:rPr>
          <w:rFonts w:ascii="Arial" w:hAnsi="Arial" w:cs="Arial"/>
        </w:rPr>
      </w:pPr>
    </w:p>
    <w:sectPr w:rsidR="000A78B5" w:rsidRPr="001B62F2" w:rsidSect="001B62F2">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6EE595" w14:textId="77777777" w:rsidR="006A470D" w:rsidRDefault="006A470D" w:rsidP="001B62F2">
      <w:r>
        <w:separator/>
      </w:r>
    </w:p>
  </w:endnote>
  <w:endnote w:type="continuationSeparator" w:id="0">
    <w:p w14:paraId="5EB5DB33" w14:textId="77777777" w:rsidR="006A470D" w:rsidRDefault="006A470D" w:rsidP="001B6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ABA987" w14:textId="77777777" w:rsidR="006A470D" w:rsidRDefault="006A470D" w:rsidP="001B62F2">
      <w:r>
        <w:separator/>
      </w:r>
    </w:p>
  </w:footnote>
  <w:footnote w:type="continuationSeparator" w:id="0">
    <w:p w14:paraId="08AD10D0" w14:textId="77777777" w:rsidR="006A470D" w:rsidRDefault="006A470D" w:rsidP="001B62F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CFB6B7" w14:textId="77777777" w:rsidR="006A470D" w:rsidRDefault="006A470D" w:rsidP="006A47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6264B4" w14:textId="77777777" w:rsidR="006A470D" w:rsidRDefault="006A470D" w:rsidP="001B62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158C8" w14:textId="77777777" w:rsidR="006A470D" w:rsidRDefault="006A470D" w:rsidP="006A47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7123">
      <w:rPr>
        <w:rStyle w:val="PageNumber"/>
        <w:noProof/>
      </w:rPr>
      <w:t>2</w:t>
    </w:r>
    <w:r>
      <w:rPr>
        <w:rStyle w:val="PageNumber"/>
      </w:rPr>
      <w:fldChar w:fldCharType="end"/>
    </w:r>
  </w:p>
  <w:p w14:paraId="6A6A93DA" w14:textId="4B891647" w:rsidR="006A470D" w:rsidRDefault="006A470D" w:rsidP="001B62F2">
    <w:pPr>
      <w:pStyle w:val="Header"/>
      <w:ind w:right="360"/>
    </w:pPr>
    <w:r>
      <w:t xml:space="preserve">FINANCIAL AUDITING MEMO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68E8C6" w14:textId="77777777" w:rsidR="006A470D" w:rsidRDefault="006A470D" w:rsidP="006A470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67123">
      <w:rPr>
        <w:rStyle w:val="PageNumber"/>
        <w:noProof/>
      </w:rPr>
      <w:t>1</w:t>
    </w:r>
    <w:r>
      <w:rPr>
        <w:rStyle w:val="PageNumber"/>
      </w:rPr>
      <w:fldChar w:fldCharType="end"/>
    </w:r>
  </w:p>
  <w:p w14:paraId="7ECFCF20" w14:textId="77777777" w:rsidR="006A470D" w:rsidRDefault="006A470D" w:rsidP="001B62F2">
    <w:pPr>
      <w:pStyle w:val="Header"/>
      <w:ind w:right="360"/>
    </w:pPr>
    <w:r>
      <w:t>Running head: FINANCIAL AUDITING</w:t>
    </w:r>
  </w:p>
  <w:p w14:paraId="5E17C0A4" w14:textId="10B4AFFA" w:rsidR="006A470D" w:rsidRDefault="006A470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B0C8B"/>
    <w:multiLevelType w:val="hybridMultilevel"/>
    <w:tmpl w:val="E3E425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BE5EC5"/>
    <w:multiLevelType w:val="hybridMultilevel"/>
    <w:tmpl w:val="F34094DA"/>
    <w:lvl w:ilvl="0" w:tplc="A7D8981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8B4575"/>
    <w:multiLevelType w:val="hybridMultilevel"/>
    <w:tmpl w:val="95707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5D9"/>
    <w:rsid w:val="000028AF"/>
    <w:rsid w:val="00006287"/>
    <w:rsid w:val="000A78B5"/>
    <w:rsid w:val="000C0554"/>
    <w:rsid w:val="000E014E"/>
    <w:rsid w:val="000E21CA"/>
    <w:rsid w:val="000E596A"/>
    <w:rsid w:val="0010600F"/>
    <w:rsid w:val="001742C1"/>
    <w:rsid w:val="00195917"/>
    <w:rsid w:val="001B62F2"/>
    <w:rsid w:val="001E5C3F"/>
    <w:rsid w:val="001F338E"/>
    <w:rsid w:val="00202F8D"/>
    <w:rsid w:val="00203EBF"/>
    <w:rsid w:val="00220C90"/>
    <w:rsid w:val="00237AB5"/>
    <w:rsid w:val="00247888"/>
    <w:rsid w:val="00257EFB"/>
    <w:rsid w:val="002649D8"/>
    <w:rsid w:val="002756A4"/>
    <w:rsid w:val="002A2A91"/>
    <w:rsid w:val="002D0555"/>
    <w:rsid w:val="003432F6"/>
    <w:rsid w:val="003506F0"/>
    <w:rsid w:val="003518C9"/>
    <w:rsid w:val="003A09FF"/>
    <w:rsid w:val="00442435"/>
    <w:rsid w:val="004427D9"/>
    <w:rsid w:val="00477E74"/>
    <w:rsid w:val="00496373"/>
    <w:rsid w:val="004E4E33"/>
    <w:rsid w:val="00516F06"/>
    <w:rsid w:val="005229E6"/>
    <w:rsid w:val="00523F34"/>
    <w:rsid w:val="0052404D"/>
    <w:rsid w:val="00543843"/>
    <w:rsid w:val="00547ECF"/>
    <w:rsid w:val="00551AD9"/>
    <w:rsid w:val="00553CB3"/>
    <w:rsid w:val="00575D9D"/>
    <w:rsid w:val="00580308"/>
    <w:rsid w:val="005A0658"/>
    <w:rsid w:val="005D3FE7"/>
    <w:rsid w:val="005E3235"/>
    <w:rsid w:val="005E7F87"/>
    <w:rsid w:val="00644CA5"/>
    <w:rsid w:val="006900D6"/>
    <w:rsid w:val="006A470D"/>
    <w:rsid w:val="006B6F32"/>
    <w:rsid w:val="006C6593"/>
    <w:rsid w:val="006E0399"/>
    <w:rsid w:val="006E1A1D"/>
    <w:rsid w:val="006E5F66"/>
    <w:rsid w:val="006F7C0A"/>
    <w:rsid w:val="007009FA"/>
    <w:rsid w:val="00701491"/>
    <w:rsid w:val="007124D7"/>
    <w:rsid w:val="007135B3"/>
    <w:rsid w:val="007173BD"/>
    <w:rsid w:val="0073644A"/>
    <w:rsid w:val="00794FB3"/>
    <w:rsid w:val="007F70FB"/>
    <w:rsid w:val="008564F5"/>
    <w:rsid w:val="00882DBC"/>
    <w:rsid w:val="008831E5"/>
    <w:rsid w:val="00896486"/>
    <w:rsid w:val="008C7B33"/>
    <w:rsid w:val="008D2B97"/>
    <w:rsid w:val="008D55D9"/>
    <w:rsid w:val="00934C8F"/>
    <w:rsid w:val="009445DF"/>
    <w:rsid w:val="009472AC"/>
    <w:rsid w:val="009902A6"/>
    <w:rsid w:val="00994720"/>
    <w:rsid w:val="009C78CE"/>
    <w:rsid w:val="00A0116C"/>
    <w:rsid w:val="00A14CAD"/>
    <w:rsid w:val="00A70230"/>
    <w:rsid w:val="00A86DBF"/>
    <w:rsid w:val="00AA6092"/>
    <w:rsid w:val="00AD2610"/>
    <w:rsid w:val="00B13773"/>
    <w:rsid w:val="00B14907"/>
    <w:rsid w:val="00B4523E"/>
    <w:rsid w:val="00B51DA6"/>
    <w:rsid w:val="00B67123"/>
    <w:rsid w:val="00BA52A9"/>
    <w:rsid w:val="00BB284E"/>
    <w:rsid w:val="00BC4C9D"/>
    <w:rsid w:val="00BD789B"/>
    <w:rsid w:val="00BF32CF"/>
    <w:rsid w:val="00C157AC"/>
    <w:rsid w:val="00C23B02"/>
    <w:rsid w:val="00C33C5C"/>
    <w:rsid w:val="00C42486"/>
    <w:rsid w:val="00CB233C"/>
    <w:rsid w:val="00CB6FD2"/>
    <w:rsid w:val="00CC74CC"/>
    <w:rsid w:val="00CD7839"/>
    <w:rsid w:val="00D01B8E"/>
    <w:rsid w:val="00D049CA"/>
    <w:rsid w:val="00D44F9E"/>
    <w:rsid w:val="00D74E4F"/>
    <w:rsid w:val="00D950FA"/>
    <w:rsid w:val="00DA1958"/>
    <w:rsid w:val="00DA3081"/>
    <w:rsid w:val="00DC395E"/>
    <w:rsid w:val="00E10031"/>
    <w:rsid w:val="00E1385D"/>
    <w:rsid w:val="00E742E8"/>
    <w:rsid w:val="00E83112"/>
    <w:rsid w:val="00E85CBD"/>
    <w:rsid w:val="00EA5A00"/>
    <w:rsid w:val="00EA68A1"/>
    <w:rsid w:val="00EB45F4"/>
    <w:rsid w:val="00EE37DF"/>
    <w:rsid w:val="00EF00ED"/>
    <w:rsid w:val="00EF4C3C"/>
    <w:rsid w:val="00EF6427"/>
    <w:rsid w:val="00F019E0"/>
    <w:rsid w:val="00F1102B"/>
    <w:rsid w:val="00F22DD2"/>
    <w:rsid w:val="00F51F81"/>
    <w:rsid w:val="00F618F0"/>
    <w:rsid w:val="00F65687"/>
    <w:rsid w:val="00F753C0"/>
    <w:rsid w:val="00FB375E"/>
    <w:rsid w:val="00FB78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1BD3CC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F8D"/>
    <w:pPr>
      <w:ind w:left="720"/>
      <w:contextualSpacing/>
    </w:pPr>
  </w:style>
  <w:style w:type="paragraph" w:styleId="Header">
    <w:name w:val="header"/>
    <w:basedOn w:val="Normal"/>
    <w:link w:val="HeaderChar"/>
    <w:uiPriority w:val="99"/>
    <w:unhideWhenUsed/>
    <w:rsid w:val="001B62F2"/>
    <w:pPr>
      <w:tabs>
        <w:tab w:val="center" w:pos="4320"/>
        <w:tab w:val="right" w:pos="8640"/>
      </w:tabs>
    </w:pPr>
  </w:style>
  <w:style w:type="character" w:customStyle="1" w:styleId="HeaderChar">
    <w:name w:val="Header Char"/>
    <w:basedOn w:val="DefaultParagraphFont"/>
    <w:link w:val="Header"/>
    <w:uiPriority w:val="99"/>
    <w:rsid w:val="001B62F2"/>
  </w:style>
  <w:style w:type="paragraph" w:styleId="Footer">
    <w:name w:val="footer"/>
    <w:basedOn w:val="Normal"/>
    <w:link w:val="FooterChar"/>
    <w:uiPriority w:val="99"/>
    <w:unhideWhenUsed/>
    <w:rsid w:val="001B62F2"/>
    <w:pPr>
      <w:tabs>
        <w:tab w:val="center" w:pos="4320"/>
        <w:tab w:val="right" w:pos="8640"/>
      </w:tabs>
    </w:pPr>
  </w:style>
  <w:style w:type="character" w:customStyle="1" w:styleId="FooterChar">
    <w:name w:val="Footer Char"/>
    <w:basedOn w:val="DefaultParagraphFont"/>
    <w:link w:val="Footer"/>
    <w:uiPriority w:val="99"/>
    <w:rsid w:val="001B62F2"/>
  </w:style>
  <w:style w:type="character" w:styleId="PageNumber">
    <w:name w:val="page number"/>
    <w:basedOn w:val="DefaultParagraphFont"/>
    <w:uiPriority w:val="99"/>
    <w:semiHidden/>
    <w:unhideWhenUsed/>
    <w:rsid w:val="001B62F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F8D"/>
    <w:pPr>
      <w:ind w:left="720"/>
      <w:contextualSpacing/>
    </w:pPr>
  </w:style>
  <w:style w:type="paragraph" w:styleId="Header">
    <w:name w:val="header"/>
    <w:basedOn w:val="Normal"/>
    <w:link w:val="HeaderChar"/>
    <w:uiPriority w:val="99"/>
    <w:unhideWhenUsed/>
    <w:rsid w:val="001B62F2"/>
    <w:pPr>
      <w:tabs>
        <w:tab w:val="center" w:pos="4320"/>
        <w:tab w:val="right" w:pos="8640"/>
      </w:tabs>
    </w:pPr>
  </w:style>
  <w:style w:type="character" w:customStyle="1" w:styleId="HeaderChar">
    <w:name w:val="Header Char"/>
    <w:basedOn w:val="DefaultParagraphFont"/>
    <w:link w:val="Header"/>
    <w:uiPriority w:val="99"/>
    <w:rsid w:val="001B62F2"/>
  </w:style>
  <w:style w:type="paragraph" w:styleId="Footer">
    <w:name w:val="footer"/>
    <w:basedOn w:val="Normal"/>
    <w:link w:val="FooterChar"/>
    <w:uiPriority w:val="99"/>
    <w:unhideWhenUsed/>
    <w:rsid w:val="001B62F2"/>
    <w:pPr>
      <w:tabs>
        <w:tab w:val="center" w:pos="4320"/>
        <w:tab w:val="right" w:pos="8640"/>
      </w:tabs>
    </w:pPr>
  </w:style>
  <w:style w:type="character" w:customStyle="1" w:styleId="FooterChar">
    <w:name w:val="Footer Char"/>
    <w:basedOn w:val="DefaultParagraphFont"/>
    <w:link w:val="Footer"/>
    <w:uiPriority w:val="99"/>
    <w:rsid w:val="001B62F2"/>
  </w:style>
  <w:style w:type="character" w:styleId="PageNumber">
    <w:name w:val="page number"/>
    <w:basedOn w:val="DefaultParagraphFont"/>
    <w:uiPriority w:val="99"/>
    <w:semiHidden/>
    <w:unhideWhenUsed/>
    <w:rsid w:val="001B6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11</Pages>
  <Words>2354</Words>
  <Characters>13423</Characters>
  <Application>Microsoft Macintosh Word</Application>
  <DocSecurity>0</DocSecurity>
  <Lines>111</Lines>
  <Paragraphs>31</Paragraphs>
  <ScaleCrop>false</ScaleCrop>
  <Company/>
  <LinksUpToDate>false</LinksUpToDate>
  <CharactersWithSpaces>15746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c:creator>
  <cp:keywords/>
  <dc:description/>
  <cp:lastModifiedBy>U</cp:lastModifiedBy>
  <cp:revision>41</cp:revision>
  <dcterms:created xsi:type="dcterms:W3CDTF">2019-01-21T13:59:00Z</dcterms:created>
  <dcterms:modified xsi:type="dcterms:W3CDTF">2019-01-21T18:02:00Z</dcterms:modified>
</cp:coreProperties>
</file>